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0" w:firstLineChars="0"/>
        <w:jc w:val="left"/>
        <w:rPr>
          <w:rFonts w:hint="eastAsia" w:ascii="黑体" w:hAnsi="黑体" w:eastAsia="黑体" w:cs="黑体"/>
          <w:lang w:eastAsia="zh-CN"/>
        </w:rPr>
      </w:pPr>
      <w:r>
        <w:rPr>
          <w:rFonts w:hint="eastAsia" w:ascii="黑体" w:hAnsi="黑体" w:eastAsia="黑体" w:cs="黑体"/>
        </w:rPr>
        <w:t>附件</w:t>
      </w:r>
      <w:r>
        <w:rPr>
          <w:rFonts w:hint="eastAsia" w:ascii="黑体" w:hAnsi="黑体" w:eastAsia="黑体" w:cs="黑体"/>
          <w:lang w:val="en-US" w:eastAsia="zh-CN"/>
        </w:rPr>
        <w:t>6</w:t>
      </w: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ind w:firstLine="960"/>
        <w:jc w:val="center"/>
        <w:rPr>
          <w:rFonts w:eastAsia="黑体"/>
          <w:sz w:val="48"/>
          <w:szCs w:val="48"/>
        </w:rPr>
      </w:pPr>
    </w:p>
    <w:p>
      <w:pPr>
        <w:spacing w:line="580" w:lineRule="exact"/>
        <w:ind w:firstLine="960"/>
        <w:jc w:val="center"/>
        <w:rPr>
          <w:rFonts w:eastAsia="黑体"/>
          <w:sz w:val="48"/>
          <w:szCs w:val="48"/>
        </w:rPr>
      </w:pPr>
    </w:p>
    <w:p>
      <w:pPr>
        <w:spacing w:line="480" w:lineRule="auto"/>
        <w:ind w:firstLine="0" w:firstLineChars="0"/>
        <w:jc w:val="center"/>
        <w:rPr>
          <w:rFonts w:hint="eastAsia" w:ascii="方正小标宋简体" w:eastAsia="方正小标宋简体"/>
          <w:sz w:val="44"/>
          <w:szCs w:val="44"/>
        </w:rPr>
      </w:pPr>
      <w:r>
        <w:rPr>
          <w:rFonts w:hint="eastAsia" w:ascii="方正小标宋简体" w:eastAsia="方正小标宋简体"/>
          <w:sz w:val="44"/>
          <w:szCs w:val="44"/>
        </w:rPr>
        <w:t>生物制品注册受理审查指南</w:t>
      </w:r>
      <w:r>
        <w:rPr>
          <w:rFonts w:ascii="方正小标宋简体" w:eastAsia="方正小标宋简体"/>
          <w:sz w:val="44"/>
          <w:szCs w:val="44"/>
        </w:rPr>
        <w:t>(</w:t>
      </w:r>
      <w:r>
        <w:rPr>
          <w:rFonts w:hint="eastAsia" w:ascii="方正小标宋简体" w:eastAsia="方正小标宋简体"/>
          <w:sz w:val="44"/>
          <w:szCs w:val="44"/>
        </w:rPr>
        <w:t xml:space="preserve">第三部分 </w:t>
      </w:r>
    </w:p>
    <w:p>
      <w:pPr>
        <w:spacing w:line="480" w:lineRule="auto"/>
        <w:ind w:firstLine="0" w:firstLineChars="0"/>
        <w:jc w:val="center"/>
        <w:rPr>
          <w:rFonts w:ascii="方正小标宋简体" w:eastAsia="方正小标宋简体"/>
          <w:sz w:val="44"/>
          <w:szCs w:val="44"/>
        </w:rPr>
      </w:pPr>
      <w:r>
        <w:rPr>
          <w:rFonts w:hint="eastAsia" w:ascii="方正小标宋简体" w:eastAsia="方正小标宋简体"/>
          <w:sz w:val="44"/>
          <w:szCs w:val="44"/>
        </w:rPr>
        <w:t>按生物制品管理的体外诊断试剂)</w:t>
      </w:r>
    </w:p>
    <w:p>
      <w:pPr>
        <w:spacing w:line="480" w:lineRule="auto"/>
        <w:ind w:firstLine="0" w:firstLineChars="0"/>
        <w:jc w:val="center"/>
        <w:rPr>
          <w:rFonts w:ascii="方正小标宋简体" w:eastAsia="方正小标宋简体"/>
          <w:sz w:val="44"/>
          <w:szCs w:val="44"/>
        </w:rPr>
      </w:pPr>
      <w:r>
        <w:rPr>
          <w:rFonts w:hint="eastAsia" w:ascii="方正小标宋简体" w:eastAsia="方正小标宋简体"/>
          <w:sz w:val="44"/>
          <w:szCs w:val="44"/>
        </w:rPr>
        <w:t>（征求</w:t>
      </w:r>
      <w:r>
        <w:rPr>
          <w:rFonts w:ascii="方正小标宋简体" w:eastAsia="方正小标宋简体"/>
          <w:sz w:val="44"/>
          <w:szCs w:val="44"/>
        </w:rPr>
        <w:t>意见稿</w:t>
      </w:r>
      <w:r>
        <w:rPr>
          <w:rFonts w:hint="eastAsia" w:ascii="方正小标宋简体" w:eastAsia="方正小标宋简体"/>
          <w:sz w:val="44"/>
          <w:szCs w:val="44"/>
        </w:rPr>
        <w:t>）</w:t>
      </w:r>
    </w:p>
    <w:p>
      <w:pPr>
        <w:spacing w:line="580" w:lineRule="exact"/>
        <w:ind w:firstLine="0" w:firstLineChars="0"/>
        <w:jc w:val="center"/>
        <w:rPr>
          <w:rFonts w:ascii="方正小标宋简体" w:eastAsia="方正小标宋简体"/>
          <w:sz w:val="44"/>
          <w:szCs w:val="44"/>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jc w:val="center"/>
        <w:rPr>
          <w:rFonts w:eastAsia="仿宋"/>
          <w:sz w:val="30"/>
          <w:szCs w:val="30"/>
        </w:rPr>
      </w:pPr>
    </w:p>
    <w:p>
      <w:pPr>
        <w:spacing w:line="580" w:lineRule="exact"/>
        <w:ind w:firstLine="181" w:firstLineChars="0"/>
        <w:jc w:val="center"/>
        <w:rPr>
          <w:rFonts w:ascii="仿宋_GB2312" w:cs="仿宋"/>
        </w:rPr>
      </w:pPr>
      <w:r>
        <w:rPr>
          <w:rFonts w:hint="eastAsia" w:ascii="仿宋_GB2312" w:cs="仿宋"/>
        </w:rPr>
        <w:t>国家药品监督管理局</w:t>
      </w:r>
    </w:p>
    <w:p>
      <w:pPr>
        <w:spacing w:line="580" w:lineRule="exact"/>
        <w:ind w:firstLine="640"/>
        <w:jc w:val="center"/>
        <w:rPr>
          <w:sz w:val="36"/>
          <w:szCs w:val="36"/>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800" w:bottom="1440" w:left="1800" w:header="851" w:footer="992" w:gutter="0"/>
          <w:cols w:space="425" w:num="1"/>
          <w:docGrid w:type="lines" w:linePitch="312" w:charSpace="0"/>
        </w:sectPr>
      </w:pPr>
      <w:r>
        <w:t>2020</w:t>
      </w:r>
      <w:r>
        <w:rPr>
          <w:rFonts w:hint="eastAsia"/>
        </w:rPr>
        <w:t>年</w:t>
      </w:r>
    </w:p>
    <w:p>
      <w:pPr>
        <w:pStyle w:val="9"/>
        <w:spacing w:line="580" w:lineRule="exact"/>
        <w:ind w:firstLine="0" w:firstLineChars="0"/>
        <w:rPr>
          <w:b w:val="0"/>
          <w:sz w:val="44"/>
          <w:szCs w:val="44"/>
        </w:rPr>
      </w:pPr>
      <w:r>
        <w:rPr>
          <w:rFonts w:hint="eastAsia"/>
          <w:b w:val="0"/>
          <w:sz w:val="44"/>
          <w:szCs w:val="44"/>
        </w:rPr>
        <w:t>目</w:t>
      </w:r>
      <w:r>
        <w:rPr>
          <w:b w:val="0"/>
          <w:sz w:val="44"/>
          <w:szCs w:val="44"/>
        </w:rPr>
        <w:t xml:space="preserve"> </w:t>
      </w:r>
      <w:r>
        <w:rPr>
          <w:rFonts w:hint="eastAsia"/>
          <w:b w:val="0"/>
          <w:sz w:val="44"/>
          <w:szCs w:val="44"/>
        </w:rPr>
        <w:t>录</w:t>
      </w:r>
    </w:p>
    <w:p>
      <w:pPr>
        <w:pStyle w:val="9"/>
        <w:spacing w:line="580" w:lineRule="exact"/>
        <w:ind w:firstLine="0" w:firstLineChars="0"/>
        <w:rPr>
          <w:rStyle w:val="22"/>
          <w:rFonts w:hAnsi="Times New Roman"/>
          <w:b w:val="0"/>
          <w:color w:val="000000"/>
          <w:u w:val="none" w:color="000000"/>
          <w:lang w:eastAsia="en-US"/>
        </w:rPr>
      </w:pPr>
      <w:r>
        <w:rPr>
          <w:rFonts w:ascii="Times New Roman" w:hAnsi="Times New Roman" w:eastAsia="仿宋_GB2312"/>
          <w:b w:val="0"/>
        </w:rPr>
        <w:fldChar w:fldCharType="begin"/>
      </w:r>
      <w:r>
        <w:rPr>
          <w:rFonts w:ascii="Times New Roman" w:hAnsi="Times New Roman" w:eastAsia="仿宋_GB2312"/>
          <w:b w:val="0"/>
        </w:rPr>
        <w:instrText xml:space="preserve"> TOC \o "1-4" \h \z \u </w:instrText>
      </w:r>
      <w:r>
        <w:rPr>
          <w:rFonts w:ascii="Times New Roman" w:hAnsi="Times New Roman" w:eastAsia="仿宋_GB2312"/>
          <w:b w:val="0"/>
        </w:rPr>
        <w:fldChar w:fldCharType="separate"/>
      </w:r>
      <w:r>
        <w:fldChar w:fldCharType="begin"/>
      </w:r>
      <w:r>
        <w:instrText xml:space="preserve"> HYPERLINK \l "_Toc33798927" </w:instrText>
      </w:r>
      <w:r>
        <w:fldChar w:fldCharType="separate"/>
      </w:r>
      <w:r>
        <w:rPr>
          <w:rStyle w:val="22"/>
          <w:rFonts w:hAnsi="Times New Roman"/>
          <w:b w:val="0"/>
          <w:color w:val="000000"/>
          <w:u w:val="none" w:color="000000"/>
          <w:lang w:eastAsia="en-US"/>
        </w:rPr>
        <w:t>一、适用范围</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_Toc33798927 \h </w:instrText>
      </w:r>
      <w:r>
        <w:rPr>
          <w:rStyle w:val="22"/>
          <w:rFonts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1</w:t>
      </w:r>
      <w:r>
        <w:rPr>
          <w:rStyle w:val="22"/>
          <w:rFonts w:ascii="Times New Roman" w:hAnsi="Times New Roman"/>
          <w:b w:val="0"/>
          <w:color w:val="000000"/>
          <w:u w:val="none" w:color="000000"/>
          <w:lang w:eastAsia="en-US"/>
        </w:rPr>
        <w:fldChar w:fldCharType="end"/>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hAnsi="Times New Roman"/>
          <w:b w:val="0"/>
          <w:color w:val="000000"/>
          <w:u w:val="none" w:color="000000"/>
          <w:lang w:eastAsia="en-US"/>
        </w:rPr>
      </w:pPr>
      <w:r>
        <w:fldChar w:fldCharType="begin"/>
      </w:r>
      <w:r>
        <w:instrText xml:space="preserve"> HYPERLINK \l "_Toc33798928" </w:instrText>
      </w:r>
      <w:r>
        <w:fldChar w:fldCharType="separate"/>
      </w:r>
      <w:r>
        <w:rPr>
          <w:rStyle w:val="22"/>
          <w:rFonts w:hAnsi="Times New Roman"/>
          <w:b w:val="0"/>
          <w:color w:val="000000"/>
          <w:u w:val="none" w:color="000000"/>
          <w:lang w:eastAsia="en-US"/>
        </w:rPr>
        <w:t>二、</w:t>
      </w:r>
      <w:r>
        <w:rPr>
          <w:rStyle w:val="22"/>
          <w:rFonts w:hint="eastAsia" w:hAnsi="Times New Roman"/>
          <w:b w:val="0"/>
          <w:color w:val="000000"/>
          <w:u w:val="none" w:color="000000"/>
          <w:lang w:eastAsia="en-US"/>
        </w:rPr>
        <w:t>资料</w:t>
      </w:r>
      <w:r>
        <w:rPr>
          <w:rStyle w:val="22"/>
          <w:rFonts w:hAnsi="Times New Roman"/>
          <w:b w:val="0"/>
          <w:color w:val="000000"/>
          <w:u w:val="none" w:color="000000"/>
          <w:lang w:eastAsia="en-US"/>
        </w:rPr>
        <w:t>受理部门</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_Toc33798928 \h </w:instrText>
      </w:r>
      <w:r>
        <w:rPr>
          <w:rStyle w:val="22"/>
          <w:rFonts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1</w:t>
      </w:r>
      <w:r>
        <w:rPr>
          <w:rStyle w:val="22"/>
          <w:rFonts w:ascii="Times New Roman" w:hAnsi="Times New Roman"/>
          <w:b w:val="0"/>
          <w:color w:val="000000"/>
          <w:u w:val="none" w:color="000000"/>
          <w:lang w:eastAsia="en-US"/>
        </w:rPr>
        <w:fldChar w:fldCharType="end"/>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fldChar w:fldCharType="begin"/>
      </w:r>
      <w:r>
        <w:instrText xml:space="preserve"> HYPERLINK \l "_Toc33798929" </w:instrText>
      </w:r>
      <w:r>
        <w:fldChar w:fldCharType="separate"/>
      </w:r>
      <w:r>
        <w:rPr>
          <w:rStyle w:val="22"/>
          <w:rFonts w:hAnsi="Times New Roman"/>
          <w:b w:val="0"/>
          <w:color w:val="000000"/>
          <w:u w:val="none" w:color="000000"/>
          <w:lang w:eastAsia="en-US"/>
        </w:rPr>
        <w:t>三、资料基本要求</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_Toc33798929 \h </w:instrText>
      </w:r>
      <w:r>
        <w:rPr>
          <w:rStyle w:val="22"/>
          <w:rFonts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1</w:t>
      </w:r>
      <w:r>
        <w:rPr>
          <w:rStyle w:val="22"/>
          <w:rFonts w:ascii="Times New Roman" w:hAnsi="Times New Roman"/>
          <w:b w:val="0"/>
          <w:color w:val="000000"/>
          <w:u w:val="none" w:color="000000"/>
          <w:lang w:eastAsia="en-US"/>
        </w:rPr>
        <w:fldChar w:fldCharType="end"/>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hint="eastAsia" w:ascii="仿宋_GB2312" w:hAnsi="Times New Roman" w:eastAsia="仿宋_GB2312"/>
          <w:b w:val="0"/>
          <w:color w:val="auto"/>
          <w:u w:val="none" w:color="000000"/>
        </w:rPr>
        <w:t xml:space="preserve">    </w:t>
      </w:r>
      <w:r>
        <w:fldChar w:fldCharType="begin"/>
      </w:r>
      <w:r>
        <w:instrText xml:space="preserve"> HYPERLINK \l "_Toc33798930" </w:instrText>
      </w:r>
      <w:r>
        <w:fldChar w:fldCharType="separate"/>
      </w:r>
      <w:r>
        <w:rPr>
          <w:rStyle w:val="22"/>
          <w:rFonts w:hint="eastAsia" w:ascii="仿宋_GB2312" w:hAnsi="Times New Roman" w:eastAsia="仿宋_GB2312"/>
          <w:b w:val="0"/>
          <w:color w:val="auto"/>
          <w:u w:val="none" w:color="000000"/>
        </w:rPr>
        <w:t>（一）申请表的整理</w:t>
      </w:r>
      <w:r>
        <w:rPr>
          <w:rStyle w:val="22"/>
          <w:rFonts w:hint="eastAsia" w:ascii="仿宋_GB2312" w:hAnsi="Times New Roman" w:eastAsia="仿宋_GB2312"/>
          <w:b w:val="0"/>
          <w:color w:val="auto"/>
          <w:u w:val="none" w:color="000000"/>
        </w:rPr>
        <w:tab/>
      </w:r>
      <w:r>
        <w:rPr>
          <w:rStyle w:val="22"/>
          <w:rFonts w:hint="eastAsia"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_Toc33798930 \h </w:instrText>
      </w:r>
      <w:r>
        <w:rPr>
          <w:rStyle w:val="22"/>
          <w:rFonts w:hint="eastAsia"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1</w:t>
      </w:r>
      <w:r>
        <w:rPr>
          <w:rStyle w:val="22"/>
          <w:rFonts w:hint="eastAsia" w:ascii="Times New Roman" w:hAnsi="Times New Roman"/>
          <w:b w:val="0"/>
          <w:color w:val="000000"/>
          <w:u w:val="none" w:color="000000"/>
          <w:lang w:eastAsia="en-US"/>
        </w:rPr>
        <w:fldChar w:fldCharType="end"/>
      </w:r>
      <w:r>
        <w:rPr>
          <w:rStyle w:val="22"/>
          <w:rFonts w:hint="eastAsia" w:ascii="Times New Roman" w:hAnsi="Times New Roman"/>
          <w:b w:val="0"/>
          <w:color w:val="000000"/>
          <w:u w:val="none" w:color="000000"/>
          <w:lang w:eastAsia="en-US"/>
        </w:rPr>
        <w:fldChar w:fldCharType="end"/>
      </w:r>
    </w:p>
    <w:p>
      <w:pPr>
        <w:pStyle w:val="9"/>
        <w:spacing w:line="580" w:lineRule="exact"/>
        <w:ind w:firstLine="0" w:firstLineChars="0"/>
        <w:rPr>
          <w:rStyle w:val="22"/>
          <w:rFonts w:hAnsi="Times New Roman"/>
          <w:b w:val="0"/>
          <w:color w:val="000000"/>
          <w:u w:val="none" w:color="000000"/>
          <w:lang w:eastAsia="en-US"/>
        </w:rPr>
      </w:pPr>
      <w:r>
        <w:rPr>
          <w:rStyle w:val="22"/>
          <w:rFonts w:hint="eastAsia" w:ascii="仿宋_GB2312" w:hAnsi="Times New Roman" w:eastAsia="仿宋_GB2312"/>
          <w:b w:val="0"/>
          <w:color w:val="auto"/>
          <w:u w:val="none" w:color="000000"/>
        </w:rPr>
        <w:t xml:space="preserve">    </w:t>
      </w:r>
      <w:r>
        <w:fldChar w:fldCharType="begin"/>
      </w:r>
      <w:r>
        <w:instrText xml:space="preserve"> HYPERLINK \l "_Toc33798931" </w:instrText>
      </w:r>
      <w:r>
        <w:fldChar w:fldCharType="separate"/>
      </w:r>
      <w:r>
        <w:rPr>
          <w:rStyle w:val="22"/>
          <w:rFonts w:hint="eastAsia" w:ascii="仿宋_GB2312" w:hAnsi="Times New Roman" w:eastAsia="仿宋_GB2312"/>
          <w:b w:val="0"/>
          <w:color w:val="auto"/>
          <w:u w:val="none" w:color="000000"/>
        </w:rPr>
        <w:t>（二）申报资料的整理</w:t>
      </w:r>
      <w:r>
        <w:rPr>
          <w:rStyle w:val="22"/>
          <w:rFonts w:hint="eastAsia" w:ascii="仿宋_GB2312" w:hAnsi="Times New Roman" w:eastAsia="仿宋_GB2312"/>
          <w:b w:val="0"/>
          <w:color w:val="auto"/>
          <w:u w:val="none" w:color="000000"/>
        </w:rPr>
        <w:tab/>
      </w:r>
      <w:r>
        <w:rPr>
          <w:rStyle w:val="22"/>
          <w:rFonts w:hint="eastAsia"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_Toc33798931 \h </w:instrText>
      </w:r>
      <w:r>
        <w:rPr>
          <w:rStyle w:val="22"/>
          <w:rFonts w:hint="eastAsia"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1</w:t>
      </w:r>
      <w:r>
        <w:rPr>
          <w:rStyle w:val="22"/>
          <w:rFonts w:hint="eastAsia" w:ascii="Times New Roman" w:hAnsi="Times New Roman"/>
          <w:b w:val="0"/>
          <w:color w:val="000000"/>
          <w:u w:val="none" w:color="000000"/>
          <w:lang w:eastAsia="en-US"/>
        </w:rPr>
        <w:fldChar w:fldCharType="end"/>
      </w:r>
      <w:r>
        <w:rPr>
          <w:rStyle w:val="22"/>
          <w:rFonts w:hint="eastAsia" w:ascii="Times New Roman" w:hAnsi="Times New Roman"/>
          <w:b w:val="0"/>
          <w:color w:val="000000"/>
          <w:u w:val="none" w:color="000000"/>
          <w:lang w:eastAsia="en-US"/>
        </w:rPr>
        <w:fldChar w:fldCharType="end"/>
      </w:r>
    </w:p>
    <w:p>
      <w:pPr>
        <w:pStyle w:val="9"/>
        <w:spacing w:line="580" w:lineRule="exact"/>
        <w:ind w:firstLine="0" w:firstLineChars="0"/>
        <w:rPr>
          <w:rStyle w:val="22"/>
          <w:rFonts w:hAnsi="Times New Roman"/>
          <w:b w:val="0"/>
          <w:color w:val="000000"/>
          <w:u w:val="none" w:color="000000"/>
          <w:lang w:eastAsia="en-US"/>
        </w:rPr>
      </w:pPr>
      <w:r>
        <w:fldChar w:fldCharType="begin"/>
      </w:r>
      <w:r>
        <w:instrText xml:space="preserve"> HYPERLINK \l "_Toc33798932" </w:instrText>
      </w:r>
      <w:r>
        <w:fldChar w:fldCharType="separate"/>
      </w:r>
      <w:r>
        <w:rPr>
          <w:rStyle w:val="22"/>
          <w:rFonts w:hAnsi="Times New Roman"/>
          <w:b w:val="0"/>
          <w:color w:val="000000"/>
          <w:u w:val="none" w:color="000000"/>
          <w:lang w:eastAsia="en-US"/>
        </w:rPr>
        <w:t>四、</w:t>
      </w:r>
      <w:r>
        <w:rPr>
          <w:rStyle w:val="22"/>
          <w:rFonts w:hint="eastAsia" w:hAnsi="Times New Roman"/>
          <w:b w:val="0"/>
          <w:color w:val="000000"/>
          <w:u w:val="none" w:color="000000"/>
          <w:lang w:eastAsia="en-US"/>
        </w:rPr>
        <w:t>形式</w:t>
      </w:r>
      <w:r>
        <w:rPr>
          <w:rStyle w:val="22"/>
          <w:rFonts w:hAnsi="Times New Roman"/>
          <w:b w:val="0"/>
          <w:color w:val="000000"/>
          <w:u w:val="none" w:color="000000"/>
          <w:lang w:eastAsia="en-US"/>
        </w:rPr>
        <w:t>审查要点</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t>2</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hint="eastAsia" w:ascii="仿宋_GB2312" w:hAnsi="Times New Roman" w:eastAsia="仿宋_GB2312"/>
          <w:b w:val="0"/>
          <w:color w:val="auto"/>
          <w:u w:val="none" w:color="000000"/>
        </w:rPr>
        <w:t xml:space="preserve">    </w:t>
      </w:r>
      <w:r>
        <w:fldChar w:fldCharType="begin"/>
      </w:r>
      <w:r>
        <w:instrText xml:space="preserve"> HYPERLINK \l "_Toc33798933" </w:instrText>
      </w:r>
      <w:r>
        <w:fldChar w:fldCharType="separate"/>
      </w:r>
      <w:r>
        <w:rPr>
          <w:rStyle w:val="22"/>
          <w:rFonts w:hint="eastAsia" w:ascii="仿宋_GB2312" w:hAnsi="Times New Roman" w:eastAsia="仿宋_GB2312"/>
          <w:b w:val="0"/>
          <w:color w:val="auto"/>
          <w:u w:val="none" w:color="000000"/>
        </w:rPr>
        <w:t>（一）申报程序审查要点</w:t>
      </w:r>
      <w:r>
        <w:rPr>
          <w:rStyle w:val="22"/>
          <w:rFonts w:hint="eastAsia" w:ascii="仿宋_GB2312" w:hAnsi="Times New Roman" w:eastAsia="仿宋_GB2312"/>
          <w:b w:val="0"/>
          <w:color w:val="auto"/>
          <w:u w:val="none" w:color="000000"/>
        </w:rPr>
        <w:tab/>
      </w:r>
      <w:r>
        <w:rPr>
          <w:rStyle w:val="22"/>
          <w:rFonts w:hint="eastAsia"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_Toc33798933 \h </w:instrText>
      </w:r>
      <w:r>
        <w:rPr>
          <w:rStyle w:val="22"/>
          <w:rFonts w:hint="eastAsia"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2</w:t>
      </w:r>
      <w:r>
        <w:rPr>
          <w:rStyle w:val="22"/>
          <w:rFonts w:hint="eastAsia" w:ascii="Times New Roman" w:hAnsi="Times New Roman"/>
          <w:b w:val="0"/>
          <w:color w:val="000000"/>
          <w:u w:val="none" w:color="000000"/>
          <w:lang w:eastAsia="en-US"/>
        </w:rPr>
        <w:fldChar w:fldCharType="end"/>
      </w:r>
      <w:r>
        <w:rPr>
          <w:rStyle w:val="22"/>
          <w:rFonts w:hint="eastAsia"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hint="eastAsia" w:ascii="仿宋_GB2312" w:hAnsi="Times New Roman" w:eastAsia="仿宋_GB2312"/>
          <w:b w:val="0"/>
          <w:color w:val="auto"/>
          <w:u w:val="none" w:color="000000"/>
        </w:rPr>
        <w:t xml:space="preserve">    </w:t>
      </w:r>
      <w:r>
        <w:fldChar w:fldCharType="begin"/>
      </w:r>
      <w:r>
        <w:instrText xml:space="preserve"> HYPERLINK \l "_Toc33798934" </w:instrText>
      </w:r>
      <w:r>
        <w:fldChar w:fldCharType="separate"/>
      </w:r>
      <w:r>
        <w:rPr>
          <w:rStyle w:val="22"/>
          <w:rFonts w:hint="eastAsia" w:ascii="仿宋_GB2312" w:hAnsi="Times New Roman" w:eastAsia="仿宋_GB2312"/>
          <w:b w:val="0"/>
          <w:color w:val="auto"/>
          <w:u w:val="none" w:color="000000"/>
        </w:rPr>
        <w:t>（二）沟通交流审查要点</w:t>
      </w:r>
      <w:r>
        <w:rPr>
          <w:rStyle w:val="22"/>
          <w:rFonts w:hint="eastAsia" w:ascii="仿宋_GB2312" w:hAnsi="Times New Roman" w:eastAsia="仿宋_GB2312"/>
          <w:b w:val="0"/>
          <w:color w:val="auto"/>
          <w:u w:val="none" w:color="000000"/>
        </w:rPr>
        <w:tab/>
      </w:r>
      <w:r>
        <w:rPr>
          <w:rStyle w:val="22"/>
          <w:rFonts w:ascii="Times New Roman" w:hAnsi="Times New Roman"/>
          <w:b w:val="0"/>
          <w:color w:val="000000"/>
          <w:u w:val="none" w:color="000000"/>
          <w:lang w:eastAsia="en-US"/>
        </w:rPr>
        <w:t>2</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hint="eastAsia" w:ascii="仿宋_GB2312" w:hAnsi="Times New Roman" w:eastAsia="仿宋_GB2312"/>
          <w:b w:val="0"/>
          <w:color w:val="auto"/>
          <w:u w:val="none" w:color="000000"/>
        </w:rPr>
        <w:t xml:space="preserve">    </w:t>
      </w:r>
      <w:r>
        <w:fldChar w:fldCharType="begin"/>
      </w:r>
      <w:r>
        <w:instrText xml:space="preserve"> HYPERLINK \l "_Toc33798935" </w:instrText>
      </w:r>
      <w:r>
        <w:fldChar w:fldCharType="separate"/>
      </w:r>
      <w:r>
        <w:rPr>
          <w:rStyle w:val="22"/>
          <w:rFonts w:hint="eastAsia" w:ascii="仿宋_GB2312" w:hAnsi="Times New Roman" w:eastAsia="仿宋_GB2312"/>
          <w:b w:val="0"/>
          <w:color w:val="auto"/>
          <w:u w:val="none" w:color="000000"/>
        </w:rPr>
        <w:t>（三）申请表审查要点</w:t>
      </w:r>
      <w:r>
        <w:rPr>
          <w:rStyle w:val="22"/>
          <w:rFonts w:hint="eastAsia" w:ascii="仿宋_GB2312" w:hAnsi="Times New Roman" w:eastAsia="仿宋_GB2312"/>
          <w:b w:val="0"/>
          <w:color w:val="auto"/>
          <w:u w:val="none" w:color="000000"/>
        </w:rPr>
        <w:tab/>
      </w:r>
      <w:r>
        <w:rPr>
          <w:rStyle w:val="22"/>
          <w:rFonts w:hint="eastAsia" w:ascii="Times New Roman" w:hAnsi="Times New Roman"/>
          <w:b w:val="0"/>
          <w:color w:val="000000"/>
          <w:u w:val="none" w:color="000000"/>
          <w:lang w:eastAsia="en-US"/>
        </w:rPr>
        <w:fldChar w:fldCharType="begin"/>
      </w:r>
      <w:r>
        <w:rPr>
          <w:rStyle w:val="22"/>
          <w:rFonts w:ascii="Times New Roman" w:hAnsi="Times New Roman"/>
          <w:b w:val="0"/>
          <w:color w:val="000000"/>
          <w:u w:val="none" w:color="000000"/>
          <w:lang w:eastAsia="en-US"/>
        </w:rPr>
        <w:instrText xml:space="preserve"> PAGEREF _Toc33798935 \h </w:instrText>
      </w:r>
      <w:r>
        <w:rPr>
          <w:rStyle w:val="22"/>
          <w:rFonts w:hint="eastAsia" w:ascii="Times New Roman" w:hAnsi="Times New Roman"/>
          <w:b w:val="0"/>
          <w:color w:val="000000"/>
          <w:u w:val="none" w:color="000000"/>
          <w:lang w:eastAsia="en-US"/>
        </w:rPr>
        <w:fldChar w:fldCharType="separate"/>
      </w:r>
      <w:r>
        <w:rPr>
          <w:rStyle w:val="22"/>
          <w:rFonts w:ascii="Times New Roman" w:hAnsi="Times New Roman"/>
          <w:b w:val="0"/>
          <w:color w:val="000000"/>
          <w:u w:val="none" w:color="000000"/>
          <w:lang w:eastAsia="en-US"/>
        </w:rPr>
        <w:t>2</w:t>
      </w:r>
      <w:r>
        <w:rPr>
          <w:rStyle w:val="22"/>
          <w:rFonts w:hint="eastAsia" w:ascii="Times New Roman" w:hAnsi="Times New Roman"/>
          <w:b w:val="0"/>
          <w:color w:val="000000"/>
          <w:u w:val="none" w:color="000000"/>
          <w:lang w:eastAsia="en-US"/>
        </w:rPr>
        <w:fldChar w:fldCharType="end"/>
      </w:r>
      <w:r>
        <w:rPr>
          <w:rStyle w:val="22"/>
          <w:rFonts w:hint="eastAsia"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hint="eastAsia" w:ascii="仿宋_GB2312" w:hAnsi="Times New Roman" w:eastAsia="仿宋_GB2312"/>
          <w:b w:val="0"/>
          <w:color w:val="auto"/>
          <w:u w:val="none" w:color="000000"/>
        </w:rPr>
        <w:t xml:space="preserve">    </w:t>
      </w:r>
      <w:r>
        <w:fldChar w:fldCharType="begin"/>
      </w:r>
      <w:r>
        <w:instrText xml:space="preserve"> HYPERLINK \l "_Toc33798936" </w:instrText>
      </w:r>
      <w:r>
        <w:fldChar w:fldCharType="separate"/>
      </w:r>
      <w:r>
        <w:rPr>
          <w:rStyle w:val="22"/>
          <w:rFonts w:hint="eastAsia" w:ascii="仿宋_GB2312" w:hAnsi="Times New Roman" w:eastAsia="仿宋_GB2312"/>
          <w:b w:val="0"/>
          <w:color w:val="auto"/>
          <w:u w:val="none" w:color="000000"/>
        </w:rPr>
        <w:t>（四）申报资料审查要点</w:t>
      </w:r>
      <w:r>
        <w:rPr>
          <w:rStyle w:val="22"/>
          <w:rFonts w:hint="eastAsia" w:ascii="仿宋_GB2312" w:hAnsi="Times New Roman" w:eastAsia="仿宋_GB2312"/>
          <w:b w:val="0"/>
          <w:color w:val="auto"/>
          <w:u w:val="none" w:color="000000"/>
        </w:rPr>
        <w:tab/>
      </w:r>
      <w:r>
        <w:rPr>
          <w:rStyle w:val="22"/>
          <w:rFonts w:ascii="Times New Roman" w:hAnsi="Times New Roman"/>
          <w:b w:val="0"/>
          <w:color w:val="000000"/>
          <w:u w:val="none" w:color="000000"/>
          <w:lang w:eastAsia="en-US"/>
        </w:rPr>
        <w:t>3</w:t>
      </w:r>
      <w:r>
        <w:rPr>
          <w:rStyle w:val="22"/>
          <w:rFonts w:ascii="Times New Roman" w:hAnsi="Times New Roman"/>
          <w:b w:val="0"/>
          <w:color w:val="000000"/>
          <w:u w:val="none" w:color="000000"/>
          <w:lang w:eastAsia="en-US"/>
        </w:rPr>
        <w:fldChar w:fldCharType="end"/>
      </w:r>
    </w:p>
    <w:p>
      <w:pPr>
        <w:pStyle w:val="9"/>
        <w:spacing w:line="580" w:lineRule="exact"/>
        <w:ind w:firstLine="0" w:firstLineChars="0"/>
        <w:jc w:val="left"/>
        <w:rPr>
          <w:rStyle w:val="22"/>
          <w:rFonts w:ascii="仿宋_GB2312" w:hAnsi="Times New Roman" w:eastAsia="仿宋_GB2312"/>
          <w:color w:val="auto"/>
          <w:u w:val="none" w:color="000000"/>
        </w:rPr>
      </w:pPr>
      <w:r>
        <w:rPr>
          <w:rStyle w:val="22"/>
          <w:rFonts w:hint="eastAsia" w:ascii="仿宋_GB2312" w:hAnsi="Times New Roman" w:eastAsia="仿宋_GB2312"/>
          <w:b w:val="0"/>
          <w:color w:val="auto"/>
          <w:u w:val="none" w:color="000000"/>
        </w:rPr>
        <w:t xml:space="preserve">    （五）其他提示</w:t>
      </w:r>
      <w:r>
        <w:rPr>
          <w:rStyle w:val="22"/>
          <w:rFonts w:hint="eastAsia" w:ascii="仿宋_GB2312" w:hAnsi="Times New Roman" w:eastAsia="仿宋_GB2312"/>
          <w:b w:val="0"/>
          <w:color w:val="auto"/>
          <w:u w:val="none" w:color="000000"/>
        </w:rPr>
        <w:tab/>
      </w:r>
      <w:r>
        <w:rPr>
          <w:rStyle w:val="22"/>
          <w:rFonts w:ascii="Times New Roman" w:hAnsi="Times New Roman"/>
          <w:b w:val="0"/>
          <w:color w:val="000000"/>
          <w:u w:val="none" w:color="000000"/>
          <w:lang w:eastAsia="en-US"/>
        </w:rPr>
        <w:t>5</w:t>
      </w:r>
    </w:p>
    <w:p>
      <w:pPr>
        <w:pStyle w:val="9"/>
        <w:spacing w:line="580" w:lineRule="exact"/>
        <w:ind w:firstLine="0" w:firstLineChars="0"/>
        <w:rPr>
          <w:rStyle w:val="22"/>
          <w:rFonts w:hAnsi="Times New Roman"/>
          <w:b w:val="0"/>
          <w:color w:val="000000"/>
          <w:u w:val="none" w:color="000000"/>
          <w:lang w:eastAsia="en-US"/>
        </w:rPr>
      </w:pPr>
      <w:r>
        <w:fldChar w:fldCharType="begin"/>
      </w:r>
      <w:r>
        <w:instrText xml:space="preserve"> HYPERLINK \l "_Toc33798938" </w:instrText>
      </w:r>
      <w:r>
        <w:fldChar w:fldCharType="separate"/>
      </w:r>
      <w:r>
        <w:rPr>
          <w:rStyle w:val="22"/>
          <w:rFonts w:hAnsi="Times New Roman"/>
          <w:b w:val="0"/>
          <w:color w:val="000000"/>
          <w:u w:val="none" w:color="000000"/>
          <w:lang w:eastAsia="en-US"/>
        </w:rPr>
        <w:t>五、受理审查决定</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t>6</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color w:val="auto"/>
          <w:u w:val="none" w:color="000000"/>
        </w:rPr>
      </w:pPr>
      <w:r>
        <w:rPr>
          <w:rStyle w:val="22"/>
          <w:rFonts w:hint="eastAsia" w:ascii="仿宋_GB2312" w:hAnsi="Times New Roman" w:eastAsia="仿宋_GB2312"/>
          <w:color w:val="auto"/>
          <w:u w:val="none" w:color="000000"/>
        </w:rPr>
        <w:t xml:space="preserve">    </w:t>
      </w:r>
      <w:r>
        <w:fldChar w:fldCharType="begin"/>
      </w:r>
      <w:r>
        <w:instrText xml:space="preserve"> HYPERLINK \l "_Toc33798939" </w:instrText>
      </w:r>
      <w:r>
        <w:fldChar w:fldCharType="separate"/>
      </w:r>
      <w:r>
        <w:rPr>
          <w:rStyle w:val="22"/>
          <w:rFonts w:hint="eastAsia" w:ascii="仿宋_GB2312" w:hAnsi="Times New Roman" w:eastAsia="仿宋_GB2312"/>
          <w:b w:val="0"/>
          <w:color w:val="auto"/>
          <w:u w:val="none" w:color="000000"/>
        </w:rPr>
        <w:t>（一）受理</w:t>
      </w:r>
      <w:r>
        <w:rPr>
          <w:rStyle w:val="22"/>
          <w:rFonts w:hint="eastAsia" w:ascii="仿宋_GB2312" w:hAnsi="Times New Roman" w:eastAsia="仿宋_GB2312"/>
          <w:color w:val="auto"/>
          <w:u w:val="none" w:color="000000"/>
        </w:rPr>
        <w:tab/>
      </w:r>
      <w:r>
        <w:rPr>
          <w:rStyle w:val="22"/>
          <w:rFonts w:ascii="Times New Roman" w:hAnsi="Times New Roman"/>
          <w:b w:val="0"/>
          <w:color w:val="000000"/>
          <w:u w:val="none" w:color="000000"/>
          <w:lang w:eastAsia="en-US"/>
        </w:rPr>
        <w:t>6</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color w:val="auto"/>
          <w:u w:val="none" w:color="000000"/>
        </w:rPr>
      </w:pPr>
      <w:r>
        <w:rPr>
          <w:rStyle w:val="22"/>
          <w:rFonts w:hint="eastAsia" w:ascii="仿宋_GB2312" w:hAnsi="Times New Roman" w:eastAsia="仿宋_GB2312"/>
          <w:color w:val="auto"/>
          <w:u w:val="none" w:color="000000"/>
        </w:rPr>
        <w:t xml:space="preserve">    </w:t>
      </w:r>
      <w:r>
        <w:fldChar w:fldCharType="begin"/>
      </w:r>
      <w:r>
        <w:instrText xml:space="preserve"> HYPERLINK \l "_Toc33798940" </w:instrText>
      </w:r>
      <w:r>
        <w:fldChar w:fldCharType="separate"/>
      </w:r>
      <w:r>
        <w:rPr>
          <w:rStyle w:val="22"/>
          <w:rFonts w:hint="eastAsia" w:ascii="仿宋_GB2312" w:hAnsi="Times New Roman" w:eastAsia="仿宋_GB2312"/>
          <w:b w:val="0"/>
          <w:color w:val="auto"/>
          <w:u w:val="none" w:color="000000"/>
        </w:rPr>
        <w:t>（二）补正</w:t>
      </w:r>
      <w:r>
        <w:rPr>
          <w:rStyle w:val="22"/>
          <w:rFonts w:hint="eastAsia" w:ascii="仿宋_GB2312" w:hAnsi="Times New Roman" w:eastAsia="仿宋_GB2312"/>
          <w:color w:val="auto"/>
          <w:u w:val="none" w:color="000000"/>
        </w:rPr>
        <w:tab/>
      </w:r>
      <w:r>
        <w:rPr>
          <w:rStyle w:val="22"/>
          <w:rFonts w:ascii="Times New Roman" w:hAnsi="Times New Roman"/>
          <w:b w:val="0"/>
          <w:color w:val="000000"/>
          <w:u w:val="none" w:color="000000"/>
          <w:lang w:eastAsia="en-US"/>
        </w:rPr>
        <w:t>6</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color w:val="auto"/>
          <w:u w:val="none" w:color="000000"/>
        </w:rPr>
      </w:pPr>
      <w:r>
        <w:rPr>
          <w:rStyle w:val="22"/>
          <w:rFonts w:hint="eastAsia" w:ascii="仿宋_GB2312" w:hAnsi="Times New Roman" w:eastAsia="仿宋_GB2312"/>
          <w:color w:val="auto"/>
          <w:u w:val="none" w:color="000000"/>
        </w:rPr>
        <w:t xml:space="preserve">    </w:t>
      </w:r>
      <w:r>
        <w:fldChar w:fldCharType="begin"/>
      </w:r>
      <w:r>
        <w:instrText xml:space="preserve"> HYPERLINK \l "_Toc33798941" </w:instrText>
      </w:r>
      <w:r>
        <w:fldChar w:fldCharType="separate"/>
      </w:r>
      <w:r>
        <w:rPr>
          <w:rStyle w:val="22"/>
          <w:rFonts w:hint="eastAsia" w:ascii="仿宋_GB2312" w:hAnsi="Times New Roman" w:eastAsia="仿宋_GB2312"/>
          <w:b w:val="0"/>
          <w:color w:val="auto"/>
          <w:u w:val="none" w:color="000000"/>
        </w:rPr>
        <w:t>（三）不予受理</w:t>
      </w:r>
      <w:r>
        <w:rPr>
          <w:rStyle w:val="22"/>
          <w:rFonts w:hint="eastAsia" w:ascii="仿宋_GB2312" w:hAnsi="Times New Roman" w:eastAsia="仿宋_GB2312"/>
          <w:color w:val="auto"/>
          <w:u w:val="none" w:color="000000"/>
        </w:rPr>
        <w:tab/>
      </w:r>
      <w:r>
        <w:rPr>
          <w:rStyle w:val="22"/>
          <w:rFonts w:ascii="Times New Roman" w:hAnsi="Times New Roman"/>
          <w:b w:val="0"/>
          <w:color w:val="000000"/>
          <w:u w:val="none" w:color="000000"/>
          <w:lang w:eastAsia="en-US"/>
        </w:rPr>
        <w:t>6</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hint="eastAsia" w:ascii="仿宋_GB2312" w:hAnsi="Times New Roman" w:eastAsia="仿宋_GB2312"/>
          <w:color w:val="auto"/>
          <w:u w:val="none" w:color="000000"/>
        </w:rPr>
        <w:t xml:space="preserve">    </w:t>
      </w:r>
      <w:r>
        <w:rPr>
          <w:rStyle w:val="22"/>
          <w:rFonts w:hint="eastAsia" w:ascii="仿宋_GB2312" w:hAnsi="Times New Roman" w:eastAsia="仿宋_GB2312"/>
          <w:b w:val="0"/>
          <w:color w:val="auto"/>
          <w:u w:val="none" w:color="000000"/>
        </w:rPr>
        <w:t>（四）受理流程图</w:t>
      </w:r>
      <w:r>
        <w:rPr>
          <w:rStyle w:val="22"/>
          <w:rFonts w:hint="eastAsia" w:ascii="仿宋_GB2312" w:hAnsi="Times New Roman" w:eastAsia="仿宋_GB2312"/>
          <w:color w:val="auto"/>
          <w:u w:val="none" w:color="000000"/>
        </w:rPr>
        <w:tab/>
      </w:r>
      <w:r>
        <w:rPr>
          <w:rStyle w:val="22"/>
          <w:rFonts w:ascii="Times New Roman" w:hAnsi="Times New Roman"/>
          <w:b w:val="0"/>
          <w:color w:val="000000"/>
          <w:u w:val="none" w:color="000000"/>
          <w:lang w:eastAsia="en-US"/>
        </w:rPr>
        <w:t>6</w:t>
      </w:r>
    </w:p>
    <w:p>
      <w:pPr>
        <w:pStyle w:val="9"/>
        <w:spacing w:line="580" w:lineRule="exact"/>
        <w:ind w:firstLine="0" w:firstLineChars="0"/>
        <w:jc w:val="left"/>
        <w:rPr>
          <w:rStyle w:val="22"/>
          <w:rFonts w:hAnsi="Times New Roman"/>
          <w:b w:val="0"/>
          <w:color w:val="000000"/>
          <w:u w:val="none" w:color="000000"/>
          <w:lang w:eastAsia="en-US"/>
        </w:rPr>
      </w:pPr>
      <w:r>
        <w:fldChar w:fldCharType="begin"/>
      </w:r>
      <w:r>
        <w:instrText xml:space="preserve"> HYPERLINK \l "_Toc33798942" </w:instrText>
      </w:r>
      <w:r>
        <w:fldChar w:fldCharType="separate"/>
      </w:r>
      <w:r>
        <w:rPr>
          <w:rStyle w:val="22"/>
          <w:rFonts w:hAnsi="Times New Roman"/>
          <w:b w:val="0"/>
          <w:color w:val="000000"/>
          <w:u w:val="none" w:color="000000"/>
          <w:lang w:eastAsia="en-US"/>
        </w:rPr>
        <w:t>六、其他</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t>7</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hAnsi="Times New Roman"/>
          <w:color w:val="000000"/>
          <w:u w:val="none" w:color="000000"/>
          <w:lang w:eastAsia="en-US"/>
        </w:rPr>
      </w:pPr>
      <w:r>
        <w:fldChar w:fldCharType="begin"/>
      </w:r>
      <w:r>
        <w:instrText xml:space="preserve"> HYPERLINK \l "_Toc33798943" </w:instrText>
      </w:r>
      <w:r>
        <w:fldChar w:fldCharType="separate"/>
      </w:r>
      <w:r>
        <w:rPr>
          <w:rStyle w:val="22"/>
          <w:rFonts w:hAnsi="Times New Roman"/>
          <w:b w:val="0"/>
          <w:color w:val="000000"/>
          <w:u w:val="none" w:color="000000"/>
          <w:lang w:eastAsia="en-US"/>
        </w:rPr>
        <w:t>七、</w:t>
      </w:r>
      <w:r>
        <w:rPr>
          <w:rStyle w:val="22"/>
          <w:rFonts w:hint="eastAsia" w:hAnsi="Times New Roman"/>
          <w:b w:val="0"/>
          <w:color w:val="000000"/>
          <w:u w:val="none" w:color="000000"/>
          <w:lang w:eastAsia="en-US"/>
        </w:rPr>
        <w:t>附件</w:t>
      </w:r>
      <w:r>
        <w:rPr>
          <w:rStyle w:val="22"/>
          <w:rFonts w:hAnsi="Times New Roman"/>
          <w:b w:val="0"/>
          <w:color w:val="000000"/>
          <w:u w:val="none" w:color="000000"/>
          <w:lang w:eastAsia="en-US"/>
        </w:rPr>
        <w:tab/>
      </w:r>
      <w:r>
        <w:rPr>
          <w:rStyle w:val="22"/>
          <w:rFonts w:ascii="Times New Roman" w:hAnsi="Times New Roman"/>
          <w:b w:val="0"/>
          <w:color w:val="000000"/>
          <w:u w:val="none" w:color="000000"/>
          <w:lang w:eastAsia="en-US"/>
        </w:rPr>
        <w:t>7</w:t>
      </w:r>
      <w:r>
        <w:rPr>
          <w:rStyle w:val="22"/>
          <w:rFonts w:ascii="Times New Roman" w:hAnsi="Times New Roman"/>
          <w:b w:val="0"/>
          <w:color w:val="000000"/>
          <w:u w:val="none" w:color="000000"/>
          <w:lang w:eastAsia="en-US"/>
        </w:rPr>
        <w:fldChar w:fldCharType="end"/>
      </w:r>
    </w:p>
    <w:p>
      <w:pPr>
        <w:pStyle w:val="9"/>
        <w:spacing w:line="580" w:lineRule="exact"/>
        <w:ind w:firstLine="0" w:firstLineChars="0"/>
        <w:rPr>
          <w:rStyle w:val="22"/>
          <w:rFonts w:ascii="仿宋_GB2312" w:hAnsi="Times New Roman" w:eastAsia="仿宋_GB2312"/>
          <w:b w:val="0"/>
          <w:color w:val="auto"/>
          <w:u w:val="none" w:color="000000"/>
        </w:rPr>
      </w:pPr>
      <w:r>
        <w:rPr>
          <w:rStyle w:val="22"/>
          <w:rFonts w:ascii="仿宋_GB2312" w:hAnsi="Times New Roman" w:eastAsia="仿宋_GB2312"/>
          <w:b w:val="0"/>
          <w:color w:val="auto"/>
          <w:u w:val="none" w:color="000000"/>
        </w:rPr>
        <w:t>1</w:t>
      </w:r>
      <w:r>
        <w:rPr>
          <w:rStyle w:val="22"/>
          <w:rFonts w:hint="eastAsia" w:ascii="仿宋_GB2312" w:hAnsi="Times New Roman" w:eastAsia="仿宋_GB2312"/>
          <w:b w:val="0"/>
          <w:color w:val="auto"/>
          <w:u w:val="none" w:color="000000"/>
        </w:rPr>
        <w:t>．</w:t>
      </w:r>
      <w:r>
        <w:fldChar w:fldCharType="begin"/>
      </w:r>
      <w:r>
        <w:instrText xml:space="preserve"> HYPERLINK \l "_Toc36757027" </w:instrText>
      </w:r>
      <w:r>
        <w:fldChar w:fldCharType="separate"/>
      </w:r>
      <w:r>
        <w:rPr>
          <w:rStyle w:val="22"/>
          <w:rFonts w:hint="eastAsia" w:ascii="仿宋_GB2312" w:hAnsi="Times New Roman" w:eastAsia="仿宋_GB2312"/>
          <w:b w:val="0"/>
          <w:color w:val="auto"/>
          <w:u w:val="none" w:color="000000"/>
        </w:rPr>
        <w:t>按生物制品管理的体外诊断试剂注册申报资料自查表</w:t>
      </w:r>
      <w:r>
        <w:rPr>
          <w:rStyle w:val="22"/>
          <w:rFonts w:hint="eastAsia" w:ascii="仿宋_GB2312" w:hAnsi="Times New Roman" w:eastAsia="仿宋_GB2312"/>
          <w:b w:val="0"/>
          <w:color w:val="auto"/>
          <w:u w:val="none" w:color="000000"/>
        </w:rPr>
        <w:tab/>
      </w:r>
      <w:r>
        <w:rPr>
          <w:rStyle w:val="22"/>
          <w:rFonts w:ascii="Times New Roman" w:hAnsi="Times New Roman"/>
          <w:b w:val="0"/>
          <w:color w:val="000000"/>
          <w:u w:val="none" w:color="000000"/>
        </w:rPr>
        <w:t>8</w:t>
      </w:r>
      <w:r>
        <w:rPr>
          <w:rStyle w:val="22"/>
          <w:rFonts w:ascii="Times New Roman" w:hAnsi="Times New Roman"/>
          <w:b w:val="0"/>
          <w:color w:val="000000"/>
          <w:u w:val="none" w:color="000000"/>
        </w:rPr>
        <w:fldChar w:fldCharType="end"/>
      </w:r>
    </w:p>
    <w:p>
      <w:pPr>
        <w:pStyle w:val="9"/>
        <w:spacing w:line="580" w:lineRule="exact"/>
        <w:ind w:firstLine="0" w:firstLineChars="0"/>
        <w:rPr>
          <w:rFonts w:ascii="楷体" w:hAnsi="楷体" w:eastAsia="楷体" w:cstheme="minorBidi"/>
          <w:sz w:val="21"/>
          <w:szCs w:val="22"/>
        </w:rPr>
      </w:pPr>
      <w:r>
        <w:rPr>
          <w:rStyle w:val="22"/>
          <w:rFonts w:ascii="仿宋_GB2312" w:hAnsi="Times New Roman" w:eastAsia="仿宋_GB2312"/>
          <w:b w:val="0"/>
          <w:color w:val="auto"/>
          <w:u w:val="none" w:color="000000"/>
        </w:rPr>
        <w:t>2</w:t>
      </w:r>
      <w:r>
        <w:rPr>
          <w:rStyle w:val="22"/>
          <w:rFonts w:hint="eastAsia" w:ascii="仿宋_GB2312" w:hAnsi="Times New Roman" w:eastAsia="仿宋_GB2312"/>
          <w:b w:val="0"/>
          <w:color w:val="auto"/>
          <w:u w:val="none" w:color="000000"/>
        </w:rPr>
        <w:t>．</w:t>
      </w:r>
      <w:r>
        <w:fldChar w:fldCharType="begin"/>
      </w:r>
      <w:r>
        <w:instrText xml:space="preserve"> HYPERLINK \l "_Toc36757028" </w:instrText>
      </w:r>
      <w:r>
        <w:fldChar w:fldCharType="separate"/>
      </w:r>
      <w:r>
        <w:rPr>
          <w:rStyle w:val="22"/>
          <w:rFonts w:hint="eastAsia" w:ascii="仿宋_GB2312" w:hAnsi="Times New Roman" w:eastAsia="仿宋_GB2312"/>
          <w:b w:val="0"/>
          <w:color w:val="auto"/>
          <w:u w:val="none" w:color="000000"/>
        </w:rPr>
        <w:t>参考目录</w:t>
      </w:r>
      <w:r>
        <w:rPr>
          <w:rStyle w:val="22"/>
          <w:rFonts w:hint="eastAsia" w:ascii="仿宋_GB2312" w:hAnsi="Times New Roman" w:eastAsia="仿宋_GB2312"/>
          <w:b w:val="0"/>
          <w:color w:val="auto"/>
          <w:u w:val="none" w:color="000000"/>
        </w:rPr>
        <w:tab/>
      </w:r>
      <w:r>
        <w:rPr>
          <w:rStyle w:val="22"/>
          <w:rFonts w:ascii="Times New Roman" w:hAnsi="Times New Roman"/>
          <w:b w:val="0"/>
          <w:color w:val="000000"/>
          <w:u w:val="none" w:color="000000"/>
        </w:rPr>
        <w:t>11</w:t>
      </w:r>
      <w:r>
        <w:rPr>
          <w:rStyle w:val="22"/>
          <w:rFonts w:ascii="Times New Roman" w:hAnsi="Times New Roman"/>
          <w:b w:val="0"/>
          <w:color w:val="000000"/>
          <w:u w:val="none" w:color="000000"/>
        </w:rPr>
        <w:fldChar w:fldCharType="end"/>
      </w:r>
    </w:p>
    <w:p>
      <w:pPr>
        <w:pStyle w:val="9"/>
        <w:spacing w:line="580" w:lineRule="exact"/>
        <w:ind w:firstLine="0" w:firstLineChars="0"/>
        <w:sectPr>
          <w:pgSz w:w="11906" w:h="16838"/>
          <w:pgMar w:top="1440" w:right="1800" w:bottom="1440" w:left="1800" w:header="851" w:footer="992" w:gutter="0"/>
          <w:cols w:space="425" w:num="1"/>
          <w:docGrid w:type="lines" w:linePitch="312" w:charSpace="0"/>
        </w:sectPr>
      </w:pPr>
      <w:r>
        <w:fldChar w:fldCharType="end"/>
      </w:r>
    </w:p>
    <w:p>
      <w:pPr>
        <w:snapToGrid w:val="0"/>
        <w:spacing w:line="580" w:lineRule="exact"/>
        <w:ind w:firstLine="0" w:firstLineChars="0"/>
        <w:jc w:val="center"/>
        <w:rPr>
          <w:rFonts w:ascii="方正小标宋简体" w:hAnsi="黑体" w:eastAsia="方正小标宋简体"/>
          <w:sz w:val="44"/>
          <w:szCs w:val="44"/>
        </w:rPr>
      </w:pPr>
    </w:p>
    <w:p>
      <w:pPr>
        <w:snapToGrid w:val="0"/>
        <w:spacing w:line="560" w:lineRule="exact"/>
        <w:ind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生物制品注册受理审查指南（征求意见稿）</w:t>
      </w:r>
    </w:p>
    <w:p>
      <w:pPr>
        <w:snapToGrid w:val="0"/>
        <w:spacing w:line="560" w:lineRule="exact"/>
        <w:ind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第三部分</w:t>
      </w:r>
      <w:r>
        <w:rPr>
          <w:rFonts w:ascii="方正小标宋简体" w:hAnsi="黑体" w:eastAsia="方正小标宋简体"/>
          <w:sz w:val="44"/>
          <w:szCs w:val="44"/>
        </w:rPr>
        <w:t xml:space="preserve"> </w:t>
      </w:r>
      <w:r>
        <w:rPr>
          <w:rFonts w:hint="eastAsia" w:ascii="方正小标宋简体" w:hAnsi="黑体" w:eastAsia="方正小标宋简体"/>
          <w:sz w:val="44"/>
          <w:szCs w:val="44"/>
        </w:rPr>
        <w:t>按生物制品管理的体外诊断试剂</w:t>
      </w:r>
    </w:p>
    <w:p>
      <w:pPr>
        <w:snapToGrid w:val="0"/>
        <w:spacing w:line="580" w:lineRule="exact"/>
        <w:ind w:firstLine="0" w:firstLineChars="0"/>
        <w:jc w:val="center"/>
        <w:rPr>
          <w:rFonts w:ascii="方正小标宋简体" w:hAnsi="黑体" w:eastAsia="方正小标宋简体" w:cs="仿宋_GB2312"/>
          <w:color w:val="000000"/>
          <w:sz w:val="44"/>
          <w:szCs w:val="44"/>
        </w:rPr>
      </w:pPr>
    </w:p>
    <w:p>
      <w:pPr>
        <w:pStyle w:val="4"/>
        <w:keepNext w:val="0"/>
        <w:keepLines w:val="0"/>
        <w:overflowPunct w:val="0"/>
        <w:spacing w:line="580" w:lineRule="exact"/>
        <w:ind w:firstLine="640"/>
      </w:pPr>
      <w:bookmarkStart w:id="0" w:name="_Toc33798927"/>
      <w:r>
        <w:t>一、适用范围</w:t>
      </w:r>
      <w:bookmarkEnd w:id="0"/>
    </w:p>
    <w:p>
      <w:pPr>
        <w:overflowPunct w:val="0"/>
        <w:spacing w:line="560" w:lineRule="exact"/>
        <w:ind w:firstLine="640"/>
      </w:pPr>
      <w:r>
        <w:t>按生物制品管理的体外诊断试剂药品上市许可申请。</w:t>
      </w:r>
    </w:p>
    <w:p>
      <w:pPr>
        <w:overflowPunct w:val="0"/>
        <w:spacing w:line="560" w:lineRule="exact"/>
        <w:ind w:firstLine="640"/>
      </w:pPr>
      <w:r>
        <w:t>注：按生物制品管理的体内诊断试剂参照治疗用生物制品受理审查指南要求。</w:t>
      </w:r>
    </w:p>
    <w:p>
      <w:pPr>
        <w:pStyle w:val="4"/>
        <w:keepNext w:val="0"/>
        <w:keepLines w:val="0"/>
        <w:overflowPunct w:val="0"/>
        <w:spacing w:line="560" w:lineRule="exact"/>
        <w:ind w:firstLine="640"/>
      </w:pPr>
      <w:bookmarkStart w:id="1" w:name="_Toc33798928"/>
      <w:r>
        <w:t>二、受理部门</w:t>
      </w:r>
      <w:bookmarkEnd w:id="1"/>
    </w:p>
    <w:p>
      <w:pPr>
        <w:overflowPunct w:val="0"/>
        <w:spacing w:line="580" w:lineRule="exact"/>
        <w:ind w:firstLine="640"/>
      </w:pPr>
      <w:r>
        <w:t>由国家药品监督管理局药品审评中心受理。</w:t>
      </w:r>
    </w:p>
    <w:p>
      <w:pPr>
        <w:pStyle w:val="4"/>
        <w:keepNext w:val="0"/>
        <w:keepLines w:val="0"/>
        <w:overflowPunct w:val="0"/>
        <w:spacing w:line="560" w:lineRule="exact"/>
        <w:ind w:firstLine="640"/>
      </w:pPr>
      <w:bookmarkStart w:id="2" w:name="_Toc33798929"/>
      <w:r>
        <w:t>三、申报资料基本要求</w:t>
      </w:r>
      <w:bookmarkEnd w:id="2"/>
    </w:p>
    <w:p>
      <w:pPr>
        <w:overflowPunct w:val="0"/>
        <w:spacing w:line="580" w:lineRule="exact"/>
        <w:ind w:firstLine="640"/>
      </w:pPr>
      <w:r>
        <w:t>按照《药品注册管理办法》及《生物制品注册分类及申报资料要求》提供符合要求的申报资料。申报资料的格式、目录及项目编号不能改变，对应项目无相关信息或研究资料，项目编号和名称也应保留，可在项下注明“不适用”并说明理由。</w:t>
      </w:r>
    </w:p>
    <w:p>
      <w:pPr>
        <w:pStyle w:val="5"/>
        <w:keepNext w:val="0"/>
        <w:keepLines w:val="0"/>
        <w:overflowPunct w:val="0"/>
        <w:spacing w:line="580" w:lineRule="exact"/>
        <w:ind w:firstLine="640"/>
      </w:pPr>
      <w:bookmarkStart w:id="3" w:name="_Toc33798930"/>
      <w:r>
        <w:t>（一）申请表的整理</w:t>
      </w:r>
      <w:bookmarkEnd w:id="3"/>
    </w:p>
    <w:p>
      <w:pPr>
        <w:pStyle w:val="5"/>
        <w:keepNext w:val="0"/>
        <w:keepLines w:val="0"/>
        <w:overflowPunct w:val="0"/>
        <w:spacing w:line="580" w:lineRule="exact"/>
        <w:ind w:firstLine="640"/>
        <w:rPr>
          <w:rFonts w:eastAsia="仿宋_GB2312"/>
        </w:rPr>
      </w:pPr>
      <w:bookmarkStart w:id="4" w:name="_Toc33798931"/>
      <w:r>
        <w:rPr>
          <w:rFonts w:eastAsia="仿宋_GB2312"/>
        </w:rPr>
        <w:t>药品注册申请表、申报资料情况自查表与申报资料份数一致，其中至少两份为原件。填写应当准确、完整、规范，不得手写或涂改，并应符合填表说明的要求。</w:t>
      </w:r>
    </w:p>
    <w:p>
      <w:pPr>
        <w:pStyle w:val="5"/>
        <w:keepNext w:val="0"/>
        <w:keepLines w:val="0"/>
        <w:overflowPunct w:val="0"/>
        <w:spacing w:line="580" w:lineRule="exact"/>
        <w:ind w:firstLine="640"/>
      </w:pPr>
      <w:r>
        <w:t>（二）申报资料的整理</w:t>
      </w:r>
      <w:bookmarkEnd w:id="4"/>
    </w:p>
    <w:p>
      <w:pPr>
        <w:ind w:firstLine="640"/>
      </w:pPr>
    </w:p>
    <w:p>
      <w:pPr>
        <w:ind w:firstLine="640"/>
        <w:jc w:val="center"/>
      </w:pPr>
    </w:p>
    <w:p>
      <w:pPr>
        <w:widowControl/>
        <w:overflowPunct w:val="0"/>
        <w:spacing w:line="580" w:lineRule="exact"/>
        <w:ind w:firstLine="640"/>
        <w:rPr>
          <w:color w:val="000000" w:themeColor="text1"/>
          <w14:textFill>
            <w14:solidFill>
              <w14:schemeClr w14:val="tx1"/>
            </w14:solidFill>
          </w14:textFill>
        </w:rPr>
      </w:pPr>
      <w:bookmarkStart w:id="5" w:name="_Toc33798932"/>
      <w:r>
        <w:rPr>
          <w:color w:val="000000" w:themeColor="text1"/>
          <w14:textFill>
            <w14:solidFill>
              <w14:schemeClr w14:val="tx1"/>
            </w14:solidFill>
          </w14:textFill>
        </w:rPr>
        <w:t>2套完整申请资料（至少1套为原件）+1套综述资料，每套装入相应的申请表（综述资料中的申请表应为原件），具体详见《申报资料基本要求》。</w:t>
      </w:r>
    </w:p>
    <w:p>
      <w:pPr>
        <w:pStyle w:val="4"/>
        <w:keepNext w:val="0"/>
        <w:keepLines w:val="0"/>
        <w:overflowPunct w:val="0"/>
        <w:spacing w:line="580" w:lineRule="exact"/>
        <w:ind w:firstLine="640"/>
      </w:pPr>
      <w:r>
        <w:t>四、</w:t>
      </w:r>
      <w:bookmarkEnd w:id="5"/>
      <w:r>
        <w:t>形式审查要点</w:t>
      </w:r>
    </w:p>
    <w:p>
      <w:pPr>
        <w:pStyle w:val="4"/>
        <w:keepNext w:val="0"/>
        <w:keepLines w:val="0"/>
        <w:overflowPunct w:val="0"/>
        <w:spacing w:line="580" w:lineRule="exact"/>
        <w:ind w:firstLine="640"/>
        <w:rPr>
          <w:rFonts w:eastAsia="楷体_GB2312"/>
        </w:rPr>
      </w:pPr>
      <w:bookmarkStart w:id="6" w:name="_Toc33798933"/>
      <w:r>
        <w:rPr>
          <w:rFonts w:eastAsia="楷体_GB2312"/>
        </w:rPr>
        <w:t>（一）</w:t>
      </w:r>
      <w:bookmarkEnd w:id="6"/>
      <w:r>
        <w:rPr>
          <w:rFonts w:eastAsia="楷体_GB2312"/>
        </w:rPr>
        <w:t>申请事项审查要点</w:t>
      </w:r>
    </w:p>
    <w:p>
      <w:pPr>
        <w:widowControl/>
        <w:spacing w:line="580" w:lineRule="exact"/>
        <w:ind w:firstLine="640" w:firstLineChars="0"/>
      </w:pPr>
      <w:r>
        <w:t>按照</w:t>
      </w:r>
      <w:r>
        <w:rPr>
          <w:rFonts w:hint="eastAsia"/>
        </w:rPr>
        <w:t>生物制品</w:t>
      </w:r>
      <w:r>
        <w:t>管理的体外诊断试剂，</w:t>
      </w:r>
      <w:r>
        <w:rPr>
          <w:rFonts w:hint="eastAsia"/>
        </w:rPr>
        <w:t>申请人在境内完成临床</w:t>
      </w:r>
      <w:r>
        <w:t>试验</w:t>
      </w:r>
      <w:r>
        <w:rPr>
          <w:rFonts w:hint="eastAsia"/>
        </w:rPr>
        <w:t>后</w:t>
      </w:r>
      <w:r>
        <w:t>可以直接提出药品上市许可申请。</w:t>
      </w:r>
    </w:p>
    <w:p>
      <w:pPr>
        <w:pStyle w:val="4"/>
        <w:keepNext w:val="0"/>
        <w:keepLines w:val="0"/>
        <w:overflowPunct w:val="0"/>
        <w:spacing w:line="580" w:lineRule="exact"/>
        <w:ind w:firstLine="640"/>
        <w:rPr>
          <w:rFonts w:eastAsia="楷体_GB2312"/>
        </w:rPr>
      </w:pPr>
      <w:r>
        <w:rPr>
          <w:rFonts w:eastAsia="楷体_GB2312"/>
        </w:rPr>
        <w:t>（二）沟通交流审查要点</w:t>
      </w:r>
    </w:p>
    <w:p>
      <w:pPr>
        <w:spacing w:line="580" w:lineRule="exact"/>
        <w:ind w:firstLine="640"/>
      </w:pPr>
      <w:r>
        <w:rPr>
          <w:rFonts w:hint="eastAsia" w:eastAsia="仿宋_GB2312"/>
          <w:lang w:eastAsia="zh-CN"/>
        </w:rPr>
        <w:t>申请人</w:t>
      </w:r>
      <w:r>
        <w:rPr>
          <w:rFonts w:eastAsia="仿宋_GB2312"/>
        </w:rPr>
        <w:t>申请沟通交流</w:t>
      </w:r>
      <w:r>
        <w:rPr>
          <w:rFonts w:hint="eastAsia" w:eastAsia="仿宋_GB2312"/>
          <w:lang w:eastAsia="zh-CN"/>
        </w:rPr>
        <w:t>后并获得回复意见</w:t>
      </w:r>
      <w:r>
        <w:rPr>
          <w:rFonts w:eastAsia="仿宋_GB2312"/>
        </w:rPr>
        <w:t>的，应提交与该申请相关的沟通交流编号、沟通交流回复意见，并就回复意见进行逐项答复</w:t>
      </w:r>
      <w:r>
        <w:t>。</w:t>
      </w:r>
    </w:p>
    <w:p>
      <w:pPr>
        <w:pStyle w:val="4"/>
        <w:keepNext w:val="0"/>
        <w:keepLines w:val="0"/>
        <w:overflowPunct w:val="0"/>
        <w:spacing w:line="580" w:lineRule="exact"/>
        <w:ind w:firstLine="640"/>
        <w:rPr>
          <w:rFonts w:eastAsia="楷体_GB2312"/>
        </w:rPr>
      </w:pPr>
      <w:bookmarkStart w:id="7" w:name="_Toc33798935"/>
      <w:r>
        <w:rPr>
          <w:rFonts w:eastAsia="楷体_GB2312"/>
        </w:rPr>
        <w:t>（三）申请表审查要点</w:t>
      </w:r>
      <w:bookmarkEnd w:id="7"/>
    </w:p>
    <w:p>
      <w:pPr>
        <w:overflowPunct w:val="0"/>
        <w:spacing w:line="560" w:lineRule="exact"/>
        <w:ind w:firstLine="640"/>
        <w:outlineLvl w:val="2"/>
      </w:pPr>
      <w:r>
        <w:rPr>
          <w:rFonts w:hint="eastAsia"/>
        </w:rPr>
        <w:t>申请表应按照</w:t>
      </w:r>
      <w:r>
        <w:t>药品注册申请表</w:t>
      </w:r>
      <w:r>
        <w:rPr>
          <w:rFonts w:hint="eastAsia"/>
        </w:rPr>
        <w:t>填表说明的要求规范填写，填报信息应与证明性文件及申报资料保持一致。</w:t>
      </w:r>
    </w:p>
    <w:p>
      <w:pPr>
        <w:spacing w:line="580" w:lineRule="exact"/>
        <w:ind w:firstLine="640"/>
      </w:pPr>
      <w:r>
        <w:t>1.药品加快上市注册程序：按照该申请实际情况勾选。经沟通交流确认后，勾选“优先审评审批程序”的，在提出药品上市许可申请的同时，按照《优先审评审批工作程序》提出优先审评审批申请；勾选“特别审批程序”的，应按照《药品特别审批程序》办理。</w:t>
      </w:r>
    </w:p>
    <w:p>
      <w:pPr>
        <w:spacing w:line="580" w:lineRule="exact"/>
        <w:ind w:firstLine="640"/>
      </w:pPr>
      <w:r>
        <w:t>2.申请事项：申请上市，选择上市许可。</w:t>
      </w:r>
    </w:p>
    <w:p>
      <w:pPr>
        <w:spacing w:line="580" w:lineRule="exact"/>
        <w:ind w:firstLine="640"/>
      </w:pPr>
      <w:r>
        <w:t>3.药品注册分类：按照《生物制品注册分类及申报资料要求》</w:t>
      </w:r>
      <w:r>
        <w:rPr>
          <w:kern w:val="44"/>
        </w:rPr>
        <w:t>按生物制品管理的</w:t>
      </w:r>
      <w:r>
        <w:rPr>
          <w:rFonts w:hint="eastAsia"/>
          <w:kern w:val="44"/>
        </w:rPr>
        <w:t>体外</w:t>
      </w:r>
      <w:r>
        <w:rPr>
          <w:kern w:val="44"/>
        </w:rPr>
        <w:t>诊断试剂注册分类要求明确注册分类</w:t>
      </w:r>
      <w:r>
        <w:t>。</w:t>
      </w:r>
    </w:p>
    <w:p>
      <w:pPr>
        <w:spacing w:line="580" w:lineRule="exact"/>
        <w:ind w:firstLine="640"/>
      </w:pPr>
      <w:r>
        <w:t>4.药品通用名称：</w:t>
      </w:r>
      <w:r>
        <w:rPr>
          <w:rFonts w:eastAsia="仿宋_GB2312"/>
        </w:rPr>
        <w:t>未列入国家药品标准或者药品注册标准的，申请人在提出药品上市许可申请时，应当</w:t>
      </w:r>
      <w:r>
        <w:rPr>
          <w:rFonts w:hint="eastAsia" w:eastAsia="仿宋_GB2312"/>
          <w:lang w:eastAsia="zh-CN"/>
        </w:rPr>
        <w:t>在提出上市许可的同时</w:t>
      </w:r>
      <w:r>
        <w:rPr>
          <w:rFonts w:eastAsia="仿宋_GB2312"/>
        </w:rPr>
        <w:t>提出通用名称核准申请</w:t>
      </w:r>
      <w:r>
        <w:rPr>
          <w:rFonts w:hint="eastAsia" w:eastAsia="仿宋_GB2312"/>
          <w:lang w:eastAsia="zh-CN"/>
        </w:rPr>
        <w:t>，并提交相应资料</w:t>
      </w:r>
      <w:r>
        <w:t>。</w:t>
      </w:r>
    </w:p>
    <w:p>
      <w:pPr>
        <w:overflowPunct w:val="0"/>
        <w:spacing w:line="580" w:lineRule="exact"/>
        <w:ind w:firstLine="640"/>
        <w:outlineLvl w:val="2"/>
      </w:pPr>
      <w:r>
        <w:t>5.主要适应症或功能主治：简略填写主要适应症或者功能主治，应涵盖申报资料中所申请的适应症信息，适应症分类应与适应症一致。</w:t>
      </w:r>
    </w:p>
    <w:p>
      <w:pPr>
        <w:spacing w:line="580" w:lineRule="exact"/>
        <w:ind w:firstLine="640"/>
      </w:pPr>
      <w:r>
        <w:t>6.本次申请为：填写申报品种本次属于第几次申报。简要说明既往申报及审批情况。如申请人自行撤回或因资料不符合审批要求曾被国家药品监督管理局不予批准等情况。原申请审批结束后，方可再行申报。</w:t>
      </w:r>
    </w:p>
    <w:p>
      <w:pPr>
        <w:spacing w:line="580" w:lineRule="exact"/>
        <w:ind w:firstLine="640"/>
      </w:pPr>
      <w:r>
        <w:t>7.</w:t>
      </w:r>
      <w:r>
        <w:rPr>
          <w:color w:val="000000" w:themeColor="text1"/>
          <w14:textFill>
            <w14:solidFill>
              <w14:schemeClr w14:val="tx1"/>
            </w14:solidFill>
          </w14:textFill>
        </w:rPr>
        <w:t>申请人及委托研究机构</w:t>
      </w:r>
    </w:p>
    <w:p>
      <w:pPr>
        <w:overflowPunct w:val="0"/>
        <w:spacing w:line="580" w:lineRule="exact"/>
        <w:ind w:firstLine="640"/>
        <w:rPr>
          <w:color w:val="000000" w:themeColor="text1"/>
          <w14:textFill>
            <w14:solidFill>
              <w14:schemeClr w14:val="tx1"/>
            </w14:solidFill>
          </w14:textFill>
        </w:rPr>
      </w:pPr>
      <w:r>
        <w:rPr>
          <w:color w:val="000000" w:themeColor="text1"/>
          <w14:textFill>
            <w14:solidFill>
              <w14:schemeClr w14:val="tx1"/>
            </w14:solidFill>
          </w14:textFill>
        </w:rPr>
        <w:t>所填报的信息应与证明性文件和申报资料保持一致，并指定其中一个申请机构负责向国家缴纳注册费用。已经填入的申请人各机构均应当由其法定代表人或接受其授权者（另需提供签字授权书原件）在此签名、加盖机构公章（须与其机构名称完全一致）。</w:t>
      </w:r>
    </w:p>
    <w:p>
      <w:pPr>
        <w:pStyle w:val="4"/>
        <w:keepNext w:val="0"/>
        <w:keepLines w:val="0"/>
        <w:overflowPunct w:val="0"/>
        <w:spacing w:line="580" w:lineRule="exact"/>
        <w:ind w:firstLine="640"/>
        <w:rPr>
          <w:rFonts w:eastAsia="楷体_GB2312"/>
        </w:rPr>
      </w:pPr>
      <w:bookmarkStart w:id="8" w:name="_Toc33798936"/>
      <w:r>
        <w:rPr>
          <w:rFonts w:eastAsia="楷体_GB2312"/>
        </w:rPr>
        <w:t>（四）申报资料审查要点</w:t>
      </w:r>
      <w:bookmarkEnd w:id="8"/>
    </w:p>
    <w:p>
      <w:pPr>
        <w:spacing w:line="580" w:lineRule="exact"/>
        <w:ind w:firstLine="640"/>
        <w:rPr>
          <w:rFonts w:eastAsia="楷体_GB2312"/>
          <w:u w:color="000000"/>
        </w:rPr>
      </w:pPr>
      <w:r>
        <w:rPr>
          <w:u w:color="000000"/>
        </w:rPr>
        <w:t>1</w:t>
      </w:r>
      <w:r>
        <w:t>．</w:t>
      </w:r>
      <w:r>
        <w:rPr>
          <w:rFonts w:eastAsia="楷体_GB2312"/>
          <w:u w:color="000000"/>
        </w:rPr>
        <w:t>产品相关证明文件</w:t>
      </w:r>
    </w:p>
    <w:p>
      <w:pPr>
        <w:spacing w:line="580" w:lineRule="exact"/>
        <w:ind w:firstLine="640"/>
      </w:pPr>
      <w:r>
        <w:t>1.1专利信息及证明文件</w:t>
      </w:r>
    </w:p>
    <w:p>
      <w:pPr>
        <w:spacing w:line="580" w:lineRule="exact"/>
        <w:ind w:firstLine="640"/>
        <w:jc w:val="left"/>
      </w:pPr>
      <w:r>
        <w:t>需提交所申请的药物或者使用的处方、工艺、用途等专利情况及其权属状态说明，以及对他人的专利不构成侵权的声明。应由申请人出具，并承诺对可能的侵权后果承担全部责任。</w:t>
      </w:r>
    </w:p>
    <w:p>
      <w:pPr>
        <w:spacing w:line="580" w:lineRule="exact"/>
        <w:ind w:firstLine="640"/>
      </w:pPr>
      <w:r>
        <w:t>1.2商标信息及证明文件</w:t>
      </w:r>
    </w:p>
    <w:p>
      <w:pPr>
        <w:spacing w:line="580" w:lineRule="exact"/>
        <w:ind w:firstLine="640"/>
      </w:pPr>
      <w:r>
        <w:t>申请使用商品名的，应提交商标局出具的商标注册证。</w:t>
      </w:r>
    </w:p>
    <w:p>
      <w:pPr>
        <w:spacing w:line="580" w:lineRule="exact"/>
        <w:ind w:firstLine="640"/>
      </w:pPr>
      <w:r>
        <w:t>1.3委托研究证明文件</w:t>
      </w:r>
    </w:p>
    <w:p>
      <w:pPr>
        <w:spacing w:line="580" w:lineRule="exact"/>
        <w:ind w:firstLine="640"/>
      </w:pPr>
      <w: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spacing w:line="580" w:lineRule="exact"/>
        <w:ind w:firstLine="640"/>
      </w:pPr>
      <w:r>
        <w:t>2．申请人/生产企业资质证明文件</w:t>
      </w:r>
    </w:p>
    <w:p>
      <w:pPr>
        <w:ind w:firstLine="640"/>
      </w:pPr>
      <w:r>
        <w:rPr>
          <w:rFonts w:hint="eastAsia"/>
        </w:rPr>
        <w:t>2.1</w:t>
      </w:r>
      <w:r>
        <w:t>申请人</w:t>
      </w:r>
      <w:r>
        <w:rPr>
          <w:rFonts w:hint="eastAsia"/>
        </w:rPr>
        <w:t>和生产</w:t>
      </w:r>
      <w:r>
        <w:t>企业机构合法登记证明文件 （营业执照等）、</w:t>
      </w:r>
      <w:r>
        <w:rPr>
          <w:rFonts w:hint="eastAsia"/>
        </w:rPr>
        <w:t>申请人</w:t>
      </w:r>
      <w:r>
        <w:t>和生产企业的药品生产许可证。</w:t>
      </w:r>
    </w:p>
    <w:p>
      <w:pPr>
        <w:ind w:firstLine="627" w:firstLineChars="196"/>
      </w:pPr>
      <w:r>
        <w:t>2.2境外申请人</w:t>
      </w:r>
      <w:r>
        <w:rPr>
          <w:rFonts w:hint="eastAsia"/>
        </w:rPr>
        <w:t>/生产</w:t>
      </w:r>
      <w:r>
        <w:t>企业资质证明文件：</w:t>
      </w:r>
      <w:r>
        <w:rPr>
          <w:rFonts w:hint="eastAsia"/>
        </w:rPr>
        <w:t>境</w:t>
      </w:r>
      <w:r>
        <w:t>外药品管理机构出具的允许诊断试剂上市销售证明文件</w:t>
      </w:r>
      <w:r>
        <w:rPr>
          <w:rFonts w:hint="eastAsia"/>
        </w:rPr>
        <w:t>（</w:t>
      </w:r>
      <w:r>
        <w:t>创新型体外诊断试剂除外）、公证认证文书及中文译文。境外生产的诊断试剂其生产厂和包装厂符合药品生产质量管理规范的证明文件、公证认证文书及中文译文。境外申请人指定中国境内的企业法人办理相关药品注册事项的，应当提供委托文书、公证文书及其中文译本，以及注册代理机构的营业执照复印件。</w:t>
      </w:r>
    </w:p>
    <w:p>
      <w:pPr>
        <w:overflowPunct w:val="0"/>
        <w:spacing w:line="580" w:lineRule="exact"/>
        <w:ind w:firstLine="640"/>
        <w:outlineLvl w:val="2"/>
        <w:rPr>
          <w:rFonts w:eastAsia="楷体_GB2312"/>
        </w:rPr>
      </w:pPr>
      <w:bookmarkStart w:id="9" w:name="_Toc33798937"/>
      <w:r>
        <w:rPr>
          <w:rFonts w:eastAsia="楷体_GB2312"/>
        </w:rPr>
        <w:t>3</w:t>
      </w:r>
      <w:r>
        <w:t>．</w:t>
      </w:r>
      <w:r>
        <w:rPr>
          <w:rFonts w:eastAsia="楷体_GB2312"/>
        </w:rPr>
        <w:t>其他申报资料</w:t>
      </w:r>
      <w:bookmarkEnd w:id="9"/>
      <w:r>
        <w:rPr>
          <w:rFonts w:eastAsia="楷体_GB2312"/>
        </w:rPr>
        <w:t>审查要点</w:t>
      </w:r>
    </w:p>
    <w:p>
      <w:pPr>
        <w:spacing w:line="580" w:lineRule="exact"/>
        <w:ind w:firstLine="640"/>
      </w:pPr>
      <w:r>
        <w:t>3.1注册分类及依据</w:t>
      </w:r>
    </w:p>
    <w:p>
      <w:pPr>
        <w:spacing w:line="580" w:lineRule="exact"/>
        <w:ind w:firstLine="640"/>
      </w:pPr>
      <w:r>
        <w:t>申请人应按照《生物制品注册分类及申报资料要求》第三部分按生物制品管理的</w:t>
      </w:r>
      <w:r>
        <w:rPr>
          <w:rFonts w:hint="eastAsia"/>
        </w:rPr>
        <w:t>体外</w:t>
      </w:r>
      <w:r>
        <w:t>诊断试剂注册分类要求明确注册分类，并在立题目的与依据中说明分类依据。</w:t>
      </w:r>
    </w:p>
    <w:p>
      <w:pPr>
        <w:spacing w:line="580" w:lineRule="exact"/>
        <w:ind w:firstLine="640"/>
      </w:pPr>
      <w:r>
        <w:t>审评审批过程中发现注册分类与实际情况不符的，申请人应主动撤回，修改完善后再行申报。</w:t>
      </w:r>
    </w:p>
    <w:p>
      <w:pPr>
        <w:spacing w:line="580" w:lineRule="exact"/>
        <w:ind w:firstLine="640"/>
        <w:rPr>
          <w:kern w:val="44"/>
        </w:rPr>
      </w:pPr>
      <w:r>
        <w:t>3.2临床试验报告主文件应按照《生物制品注册分类及申报资料要求》第三部分临床试验资料要求逐项提交，各临床试验机构的试验报告需加盖临床试验主管部门公章。</w:t>
      </w:r>
    </w:p>
    <w:p>
      <w:pPr>
        <w:overflowPunct w:val="0"/>
        <w:spacing w:line="580" w:lineRule="exact"/>
        <w:ind w:firstLine="640"/>
        <w:rPr>
          <w:rFonts w:eastAsia="楷体_GB2312"/>
          <w:color w:val="FF0000"/>
        </w:rPr>
      </w:pPr>
      <w:r>
        <w:t>3.3</w:t>
      </w:r>
      <w:r>
        <w:rPr>
          <w:rFonts w:hint="eastAsia"/>
        </w:rPr>
        <w:t>拟使用的药品通用名称，未列入国家药品标准或者药品注册标准的，应当同时提出通用名称核准申请，并提交通用名称核准相关资料，单独成袋。</w:t>
      </w:r>
    </w:p>
    <w:p>
      <w:pPr>
        <w:spacing w:line="580" w:lineRule="exact"/>
        <w:ind w:firstLine="640"/>
        <w:rPr>
          <w:rFonts w:eastAsia="楷体_GB2312"/>
        </w:rPr>
      </w:pPr>
      <w:r>
        <w:rPr>
          <w:kern w:val="44"/>
        </w:rPr>
        <w:t>3.</w:t>
      </w:r>
      <w:r>
        <w:rPr>
          <w:rFonts w:eastAsia="楷体_GB2312"/>
        </w:rPr>
        <w:t>4申报资料真实性声明</w:t>
      </w:r>
    </w:p>
    <w:p>
      <w:pPr>
        <w:spacing w:line="580" w:lineRule="exact"/>
        <w:ind w:firstLine="640"/>
      </w:pPr>
      <w:r>
        <w:t>应由申请人声明对所申报的材料真实性负责，保证申报资料的真实有效。同时，需要法定代表人签字盖章。在中华人民共和国领域外形成的此文件，必须经所在国公证机构公证及驻所在国中国使领馆认证。</w:t>
      </w:r>
    </w:p>
    <w:p>
      <w:pPr>
        <w:spacing w:line="580" w:lineRule="exact"/>
        <w:ind w:firstLine="640"/>
      </w:pPr>
      <w:r>
        <w:rPr>
          <w:kern w:val="44"/>
        </w:rPr>
        <w:t>3.5</w:t>
      </w:r>
      <w:r>
        <w:t>申请人撤回注册申请后重新申报的，应对重新开展或者补充完善的相关情况进行详细说明。</w:t>
      </w:r>
    </w:p>
    <w:p>
      <w:pPr>
        <w:pStyle w:val="5"/>
        <w:keepNext w:val="0"/>
        <w:keepLines w:val="0"/>
        <w:widowControl/>
        <w:numPr>
          <w:ilvl w:val="0"/>
          <w:numId w:val="1"/>
        </w:numPr>
        <w:overflowPunct w:val="0"/>
        <w:spacing w:line="580" w:lineRule="exact"/>
        <w:ind w:firstLine="640"/>
        <w:rPr>
          <w:u w:color="000000"/>
        </w:rPr>
      </w:pPr>
      <w:r>
        <w:rPr>
          <w:u w:color="000000"/>
        </w:rPr>
        <w:t>其他提示</w:t>
      </w:r>
    </w:p>
    <w:p>
      <w:pPr>
        <w:spacing w:line="580" w:lineRule="exact"/>
        <w:ind w:firstLine="640"/>
      </w:pPr>
      <w:r>
        <w:t>1．至少在3家境内临床机构完成临床试验并提供临床试验方案。境外申请人应提供在境外完成的临床试验资料、境外临床使用情况的总结报告和在境内完成的临床试验资料</w:t>
      </w:r>
      <w:r>
        <w:rPr>
          <w:rFonts w:hint="eastAsia"/>
        </w:rPr>
        <w:t>。</w:t>
      </w:r>
    </w:p>
    <w:p>
      <w:pPr>
        <w:spacing w:line="580" w:lineRule="exact"/>
        <w:ind w:firstLine="640"/>
      </w:pPr>
      <w:r>
        <w:t>2．关于取消证明事项的公告中规定的“改为内部核查”的证明事项，按公告要求执行。</w:t>
      </w:r>
    </w:p>
    <w:p>
      <w:pPr>
        <w:spacing w:line="580" w:lineRule="exact"/>
        <w:ind w:firstLine="640"/>
      </w:pPr>
      <w:r>
        <w:t>3．申请人提供境外药监部门出具的证明文件，应当符合世界卫生组织推荐的统一格式。其他格式的文件，必须经所在国公证机构公证及驻所在国中国使领馆认证。</w:t>
      </w:r>
    </w:p>
    <w:p>
      <w:pPr>
        <w:spacing w:line="580" w:lineRule="exact"/>
        <w:ind w:firstLine="640"/>
        <w:rPr>
          <w:kern w:val="44"/>
        </w:rPr>
      </w:pPr>
      <w:r>
        <w:t>4．</w:t>
      </w:r>
      <w:r>
        <w:rPr>
          <w:kern w:val="44"/>
        </w:rPr>
        <w:t>申请人应当在三十日内完成补正资料，申请人无正当理由逾期不予补正的，视为放弃申请。</w:t>
      </w:r>
    </w:p>
    <w:p>
      <w:pPr>
        <w:pStyle w:val="5"/>
        <w:keepNext w:val="0"/>
        <w:keepLines w:val="0"/>
        <w:overflowPunct w:val="0"/>
        <w:spacing w:line="580" w:lineRule="exact"/>
        <w:ind w:firstLine="640"/>
        <w:rPr>
          <w:rFonts w:eastAsia="黑体"/>
        </w:rPr>
      </w:pPr>
      <w:bookmarkStart w:id="10" w:name="_Toc33798938"/>
      <w:r>
        <w:rPr>
          <w:rFonts w:eastAsia="黑体"/>
        </w:rPr>
        <w:t>五、受理审查决定</w:t>
      </w:r>
      <w:bookmarkEnd w:id="10"/>
    </w:p>
    <w:p>
      <w:pPr>
        <w:pStyle w:val="5"/>
        <w:keepNext w:val="0"/>
        <w:keepLines w:val="0"/>
        <w:overflowPunct w:val="0"/>
        <w:spacing w:line="580" w:lineRule="exact"/>
        <w:ind w:firstLine="640"/>
      </w:pPr>
      <w:bookmarkStart w:id="11" w:name="_Toc33798939"/>
      <w:r>
        <w:t>（一）受理</w:t>
      </w:r>
      <w:bookmarkEnd w:id="11"/>
    </w:p>
    <w:p>
      <w:pPr>
        <w:overflowPunct w:val="0"/>
        <w:spacing w:line="580" w:lineRule="exact"/>
        <w:ind w:firstLine="640"/>
      </w:pPr>
      <w:r>
        <w:t>1．受理通知单：符合形式审查要求的，出具《受理通知书》一式两份，一份给申请人，一份存入资料。</w:t>
      </w:r>
    </w:p>
    <w:p>
      <w:pPr>
        <w:overflowPunct w:val="0"/>
        <w:spacing w:line="580" w:lineRule="exact"/>
        <w:ind w:firstLine="640"/>
      </w:pPr>
      <w:r>
        <w:t>2．缴费通知书：需要缴费。</w:t>
      </w:r>
    </w:p>
    <w:p>
      <w:pPr>
        <w:spacing w:line="550" w:lineRule="exact"/>
        <w:ind w:firstLine="640"/>
      </w:pPr>
      <w:bookmarkStart w:id="12" w:name="_Toc33798940"/>
      <w:r>
        <w:t>依照《关于发布药品、医疗器械产品注册收费标准的公告（2015年第53号）》</w:t>
      </w:r>
      <w:r>
        <w:rPr>
          <w:rFonts w:hint="eastAsia"/>
        </w:rPr>
        <w:t>、《</w:t>
      </w:r>
      <w:r>
        <w:t>关于化学药品新注册分类收费标准有关事宜的通告</w:t>
      </w:r>
      <w:r>
        <w:rPr>
          <w:rFonts w:hint="eastAsia"/>
        </w:rPr>
        <w:t>》</w:t>
      </w:r>
      <w:r>
        <w:t>（2016年第124号）</w:t>
      </w:r>
      <w:r>
        <w:rPr>
          <w:rFonts w:hint="eastAsia"/>
        </w:rPr>
        <w:t>及</w:t>
      </w:r>
      <w:r>
        <w:t>《</w:t>
      </w:r>
      <w:r>
        <w:rPr>
          <w:rFonts w:hint="eastAsia"/>
        </w:rPr>
        <w:t>化学</w:t>
      </w:r>
      <w:r>
        <w:t>药品注册分类改革工作方案》</w:t>
      </w:r>
      <w:r>
        <w:rPr>
          <w:rFonts w:hint="eastAsia"/>
        </w:rPr>
        <w:t>政策</w:t>
      </w:r>
      <w:r>
        <w:t>解读</w:t>
      </w:r>
      <w:r>
        <w:rPr>
          <w:rFonts w:hint="eastAsia"/>
        </w:rPr>
        <w:t>（二）</w:t>
      </w:r>
      <w:r>
        <w:t>等文件要求缴费。</w:t>
      </w:r>
    </w:p>
    <w:p>
      <w:pPr>
        <w:pStyle w:val="5"/>
        <w:keepNext w:val="0"/>
        <w:keepLines w:val="0"/>
        <w:overflowPunct w:val="0"/>
        <w:spacing w:line="580" w:lineRule="exact"/>
        <w:ind w:firstLine="640"/>
      </w:pPr>
      <w:r>
        <w:t>（二）补正</w:t>
      </w:r>
      <w:bookmarkEnd w:id="12"/>
    </w:p>
    <w:p>
      <w:pPr>
        <w:overflowPunct w:val="0"/>
        <w:spacing w:line="580" w:lineRule="exact"/>
        <w:ind w:firstLine="640"/>
      </w:pPr>
      <w:r>
        <w:t>申报资料不齐全或者不符合法定形式的，应一次告知申请人需要补正的全部内容，出具《补正通知书》。</w:t>
      </w:r>
    </w:p>
    <w:p>
      <w:pPr>
        <w:pStyle w:val="5"/>
        <w:keepNext w:val="0"/>
        <w:keepLines w:val="0"/>
        <w:overflowPunct w:val="0"/>
        <w:spacing w:line="580" w:lineRule="exact"/>
        <w:ind w:firstLine="640"/>
      </w:pPr>
      <w:bookmarkStart w:id="13" w:name="_Toc33798941"/>
      <w:r>
        <w:t>（三）不予受理</w:t>
      </w:r>
      <w:bookmarkEnd w:id="13"/>
    </w:p>
    <w:p>
      <w:pPr>
        <w:overflowPunct w:val="0"/>
        <w:spacing w:line="580" w:lineRule="exact"/>
        <w:ind w:firstLine="640"/>
      </w:pPr>
      <w:r>
        <w:t>不符合要求的，出具《不予受理通知书》，并说明理由。</w:t>
      </w:r>
    </w:p>
    <w:p>
      <w:pPr>
        <w:pStyle w:val="5"/>
        <w:keepNext w:val="0"/>
        <w:keepLines w:val="0"/>
        <w:overflowPunct w:val="0"/>
        <w:spacing w:line="580" w:lineRule="exact"/>
        <w:ind w:firstLine="640"/>
      </w:pPr>
      <w:r>
        <w:t>（</w:t>
      </w:r>
      <w:r>
        <w:rPr>
          <w:rFonts w:hint="eastAsia"/>
        </w:rPr>
        <w:t>四</w:t>
      </w:r>
      <w:r>
        <w:t>）受理流程图</w:t>
      </w:r>
    </w:p>
    <w:p>
      <w:pPr>
        <w:overflowPunct w:val="0"/>
        <w:spacing w:line="580" w:lineRule="exact"/>
        <w:ind w:firstLine="640"/>
      </w:pPr>
    </w:p>
    <w:p>
      <w:pPr>
        <w:overflowPunct w:val="0"/>
        <w:spacing w:line="580" w:lineRule="exact"/>
        <w:ind w:firstLine="640"/>
      </w:pPr>
    </w:p>
    <w:p>
      <w:pPr>
        <w:spacing w:line="580" w:lineRule="exact"/>
        <w:ind w:firstLine="640"/>
      </w:pPr>
      <w:r>
        <mc:AlternateContent>
          <mc:Choice Requires="wps">
            <w:drawing>
              <wp:anchor distT="0" distB="0" distL="114300" distR="114300" simplePos="0" relativeHeight="251653120" behindDoc="0" locked="0" layoutInCell="1" allowOverlap="1">
                <wp:simplePos x="0" y="0"/>
                <wp:positionH relativeFrom="column">
                  <wp:posOffset>536575</wp:posOffset>
                </wp:positionH>
                <wp:positionV relativeFrom="paragraph">
                  <wp:posOffset>46355</wp:posOffset>
                </wp:positionV>
                <wp:extent cx="1382395" cy="614680"/>
                <wp:effectExtent l="0" t="0" r="27305" b="13970"/>
                <wp:wrapNone/>
                <wp:docPr id="13" name="矩形 1"/>
                <wp:cNvGraphicFramePr/>
                <a:graphic xmlns:a="http://schemas.openxmlformats.org/drawingml/2006/main">
                  <a:graphicData uri="http://schemas.microsoft.com/office/word/2010/wordprocessingShape">
                    <wps:wsp>
                      <wps:cNvSpPr>
                        <a:spLocks noChangeArrowheads="1"/>
                      </wps:cNvSpPr>
                      <wps:spPr bwMode="auto">
                        <a:xfrm>
                          <a:off x="0" y="0"/>
                          <a:ext cx="1382395" cy="614680"/>
                        </a:xfrm>
                        <a:prstGeom prst="rect">
                          <a:avLst/>
                        </a:prstGeom>
                        <a:solidFill>
                          <a:srgbClr val="FFFFFF"/>
                        </a:solidFill>
                        <a:ln w="6350">
                          <a:solidFill>
                            <a:srgbClr val="000000"/>
                          </a:solidFill>
                          <a:miter lim="800000"/>
                        </a:ln>
                      </wps:spPr>
                      <wps:txbx>
                        <w:txbxContent>
                          <w:p>
                            <w:pPr>
                              <w:spacing w:before="120" w:line="276" w:lineRule="auto"/>
                              <w:ind w:firstLine="0" w:firstLineChars="0"/>
                              <w:jc w:val="center"/>
                              <w:rPr>
                                <w:rFonts w:ascii="仿宋_GB2312"/>
                                <w:color w:val="000000"/>
                                <w:sz w:val="24"/>
                                <w:szCs w:val="24"/>
                              </w:rPr>
                            </w:pPr>
                            <w:r>
                              <w:rPr>
                                <w:rFonts w:hint="eastAsia" w:ascii="仿宋_GB2312"/>
                                <w:color w:val="000000"/>
                                <w:sz w:val="24"/>
                                <w:szCs w:val="24"/>
                              </w:rPr>
                              <w:t>资料申报</w:t>
                            </w:r>
                          </w:p>
                        </w:txbxContent>
                      </wps:txbx>
                      <wps:bodyPr rot="0" vert="horz" wrap="square" lIns="91440" tIns="45720" rIns="91440" bIns="45720" anchor="ctr" anchorCtr="0" upright="1">
                        <a:noAutofit/>
                      </wps:bodyPr>
                    </wps:wsp>
                  </a:graphicData>
                </a:graphic>
              </wp:anchor>
            </w:drawing>
          </mc:Choice>
          <mc:Fallback>
            <w:pict>
              <v:rect id="矩形 1" o:spid="_x0000_s1026" o:spt="1" style="position:absolute;left:0pt;margin-left:42.25pt;margin-top:3.65pt;height:48.4pt;width:108.85pt;z-index:251653120;v-text-anchor:middle;mso-width-relative:page;mso-height-relative:page;" fillcolor="#FFFFFF" filled="t" stroked="t" coordsize="21600,21600" o:gfxdata="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UTvaNcAAAAI&#10;AQAADwAAAAAAAAABACAAAAAiAAAAZHJzL2Rvd25yZXYueG1sUEsBAhQAFAAAAAgAh07iQD+5gZ4d&#10;AgAALwQAAA4AAAAAAAAAAQAgAAAAJgEAAGRycy9lMm9Eb2MueG1sUEsFBgAAAAAGAAYAWQEAALUF&#10;AAAAAA==&#10;">
                <v:fill on="t" focussize="0,0"/>
                <v:stroke weight="0.5pt" color="#000000" miterlimit="8" joinstyle="miter"/>
                <v:imagedata o:title=""/>
                <o:lock v:ext="edit" aspectratio="f"/>
                <v:textbox>
                  <w:txbxContent>
                    <w:p>
                      <w:pPr>
                        <w:spacing w:before="120" w:line="276" w:lineRule="auto"/>
                        <w:ind w:firstLine="0" w:firstLineChars="0"/>
                        <w:jc w:val="center"/>
                        <w:rPr>
                          <w:rFonts w:ascii="仿宋_GB2312"/>
                          <w:color w:val="000000"/>
                          <w:sz w:val="24"/>
                          <w:szCs w:val="24"/>
                        </w:rPr>
                      </w:pPr>
                      <w:r>
                        <w:rPr>
                          <w:rFonts w:hint="eastAsia" w:ascii="仿宋_GB2312"/>
                          <w:color w:val="000000"/>
                          <w:sz w:val="24"/>
                          <w:szCs w:val="24"/>
                        </w:rPr>
                        <w:t>资料申报</w:t>
                      </w:r>
                    </w:p>
                  </w:txbxContent>
                </v:textbox>
              </v:rect>
            </w:pict>
          </mc:Fallback>
        </mc:AlternateContent>
      </w:r>
    </w:p>
    <w:p>
      <w:pPr>
        <w:spacing w:line="580" w:lineRule="exact"/>
        <w:ind w:firstLine="640"/>
        <w:rPr>
          <w:rFonts w:ascii="黑体" w:hAnsi="黑体" w:eastAsia="黑体" w:cs="仿宋_GB2312"/>
          <w:color w:val="000000"/>
        </w:rPr>
      </w:pPr>
      <w:r>
        <mc:AlternateContent>
          <mc:Choice Requires="wps">
            <w:drawing>
              <wp:anchor distT="0" distB="0" distL="114300" distR="114300" simplePos="0" relativeHeight="251655168" behindDoc="0" locked="0" layoutInCell="1" allowOverlap="1">
                <wp:simplePos x="0" y="0"/>
                <wp:positionH relativeFrom="column">
                  <wp:posOffset>1224915</wp:posOffset>
                </wp:positionH>
                <wp:positionV relativeFrom="paragraph">
                  <wp:posOffset>302895</wp:posOffset>
                </wp:positionV>
                <wp:extent cx="0" cy="455295"/>
                <wp:effectExtent l="95250" t="0" r="57150" b="59055"/>
                <wp:wrapNone/>
                <wp:docPr id="12" name="直接箭头连接符 5"/>
                <wp:cNvGraphicFramePr/>
                <a:graphic xmlns:a="http://schemas.openxmlformats.org/drawingml/2006/main">
                  <a:graphicData uri="http://schemas.microsoft.com/office/word/2010/wordprocessingShape">
                    <wps:wsp>
                      <wps:cNvCnPr>
                        <a:cxnSpLocks noChangeShapeType="1"/>
                      </wps:cNvCnPr>
                      <wps:spPr bwMode="auto">
                        <a:xfrm flipH="1">
                          <a:off x="0" y="0"/>
                          <a:ext cx="0" cy="45529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5" o:spid="_x0000_s1026" o:spt="32" type="#_x0000_t32" style="position:absolute;left:0pt;flip:x;margin-left:96.45pt;margin-top:23.85pt;height:35.85pt;width:0pt;z-index:251655168;mso-width-relative:page;mso-height-relative:page;" filled="f" stroked="t" coordsize="21600,21600" o:gfxdata="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pv3G9cAAAAKAQAADwAAAAAAAAABACAAAAAiAAAAZHJzL2Rvd25yZXYueG1sUEsB&#10;AhQAFAAAAAgAh07iQD+7+G32AQAApgMAAA4AAAAAAAAAAQAgAAAAJgEAAGRycy9lMm9Eb2MueG1s&#10;UEsFBgAAAAAGAAYAWQEAAI4FAAAAAA==&#10;">
                <v:fill on="f" focussize="0,0"/>
                <v:stroke weight="1.5pt" color="#000000" joinstyle="round" endarrow="open"/>
                <v:imagedata o:title=""/>
                <o:lock v:ext="edit" aspectratio="f"/>
              </v:shape>
            </w:pict>
          </mc:Fallback>
        </mc:AlternateContent>
      </w:r>
    </w:p>
    <w:p>
      <w:pPr>
        <w:spacing w:line="580" w:lineRule="exact"/>
        <w:ind w:firstLine="640"/>
        <w:rPr>
          <w:color w:val="000000"/>
        </w:rPr>
      </w:pPr>
      <w:r>
        <mc:AlternateContent>
          <mc:Choice Requires="wps">
            <w:drawing>
              <wp:anchor distT="0" distB="0" distL="114300" distR="114300" simplePos="0" relativeHeight="251654144" behindDoc="0" locked="0" layoutInCell="1" allowOverlap="1">
                <wp:simplePos x="0" y="0"/>
                <wp:positionH relativeFrom="column">
                  <wp:posOffset>-117475</wp:posOffset>
                </wp:positionH>
                <wp:positionV relativeFrom="paragraph">
                  <wp:posOffset>377190</wp:posOffset>
                </wp:positionV>
                <wp:extent cx="2703195" cy="1284605"/>
                <wp:effectExtent l="19050" t="19050" r="20955" b="29845"/>
                <wp:wrapNone/>
                <wp:docPr id="11" name="流程图: 决策 3"/>
                <wp:cNvGraphicFramePr/>
                <a:graphic xmlns:a="http://schemas.openxmlformats.org/drawingml/2006/main">
                  <a:graphicData uri="http://schemas.microsoft.com/office/word/2010/wordprocessingShape">
                    <wps:wsp>
                      <wps:cNvSpPr>
                        <a:spLocks noChangeArrowheads="1"/>
                      </wps:cNvSpPr>
                      <wps:spPr bwMode="auto">
                        <a:xfrm>
                          <a:off x="0" y="0"/>
                          <a:ext cx="2703195" cy="1284605"/>
                        </a:xfrm>
                        <a:prstGeom prst="flowChartDecision">
                          <a:avLst/>
                        </a:prstGeom>
                        <a:solidFill>
                          <a:srgbClr val="FFFFFF"/>
                        </a:solidFill>
                        <a:ln w="6350">
                          <a:solidFill>
                            <a:srgbClr val="000000"/>
                          </a:solidFill>
                          <a:miter lim="800000"/>
                        </a:ln>
                      </wps:spPr>
                      <wps:txbx>
                        <w:txbxContent>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z w:val="24"/>
                                <w:szCs w:val="24"/>
                              </w:rPr>
                              <w:t>国家局药审中心</w:t>
                            </w:r>
                          </w:p>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napToGrid w:val="0"/>
                                <w:color w:val="000000"/>
                                <w:sz w:val="24"/>
                                <w:szCs w:val="24"/>
                              </w:rPr>
                              <w:t>签收资料并进行形式审查</w:t>
                            </w:r>
                          </w:p>
                        </w:txbxContent>
                      </wps:txbx>
                      <wps:bodyPr rot="0" vert="horz" wrap="square" lIns="91440" tIns="45720" rIns="91440" bIns="45720" anchor="ctr" anchorCtr="0" upright="1">
                        <a:noAutofit/>
                      </wps:bodyPr>
                    </wps:wsp>
                  </a:graphicData>
                </a:graphic>
              </wp:anchor>
            </w:drawing>
          </mc:Choice>
          <mc:Fallback>
            <w:pict>
              <v:shape id="流程图: 决策 3" o:spid="_x0000_s1026" o:spt="110" type="#_x0000_t110" style="position:absolute;left:0pt;margin-left:-9.25pt;margin-top:29.7pt;height:101.15pt;width:212.85pt;z-index:251654144;v-text-anchor:middle;mso-width-relative:page;mso-height-relative:page;" fillcolor="#FFFFFF" filled="t" stroked="t" coordsize="21600,21600" o:gfxdata="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sACCm2wAAAAoBAAAPAAAAAAAAAAEAIAAAACIAAABk&#10;cnMvZG93bnJldi54bWxQSwECFAAUAAAACACHTuJAu/w/vzwCAABIBAAADgAAAAAAAAABACAAAAAq&#10;AQAAZHJzL2Uyb0RvYy54bWxQSwUGAAAAAAYABgBZAQAA2AUAAAAA&#10;">
                <v:fill on="t" focussize="0,0"/>
                <v:stroke weight="0.5pt" color="#000000" miterlimit="8" joinstyle="miter"/>
                <v:imagedata o:title=""/>
                <o:lock v:ext="edit" aspectratio="f"/>
                <v:textbox>
                  <w:txbxContent>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z w:val="24"/>
                          <w:szCs w:val="24"/>
                        </w:rPr>
                        <w:t>国家局药审中心</w:t>
                      </w:r>
                    </w:p>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napToGrid w:val="0"/>
                          <w:color w:val="000000"/>
                          <w:sz w:val="24"/>
                          <w:szCs w:val="24"/>
                        </w:rPr>
                        <w:t>签收资料并进行形式审查</w:t>
                      </w:r>
                    </w:p>
                  </w:txbxContent>
                </v:textbox>
              </v:shape>
            </w:pict>
          </mc:Fallback>
        </mc:AlternateContent>
      </w:r>
    </w:p>
    <w:p>
      <w:pPr>
        <w:spacing w:line="580" w:lineRule="exact"/>
        <w:ind w:firstLine="640"/>
        <w:rPr>
          <w:color w:val="000000"/>
        </w:rPr>
      </w:pPr>
      <w:r>
        <mc:AlternateContent>
          <mc:Choice Requires="wps">
            <w:drawing>
              <wp:anchor distT="0" distB="0" distL="114300" distR="114300" simplePos="0" relativeHeight="251660288" behindDoc="0" locked="0" layoutInCell="1" allowOverlap="1">
                <wp:simplePos x="0" y="0"/>
                <wp:positionH relativeFrom="column">
                  <wp:posOffset>2567305</wp:posOffset>
                </wp:positionH>
                <wp:positionV relativeFrom="paragraph">
                  <wp:posOffset>207010</wp:posOffset>
                </wp:positionV>
                <wp:extent cx="1056640" cy="335280"/>
                <wp:effectExtent l="0" t="0" r="10160" b="26670"/>
                <wp:wrapNone/>
                <wp:docPr id="10" name="矩形 12"/>
                <wp:cNvGraphicFramePr/>
                <a:graphic xmlns:a="http://schemas.openxmlformats.org/drawingml/2006/main">
                  <a:graphicData uri="http://schemas.microsoft.com/office/word/2010/wordprocessingShape">
                    <wps:wsp>
                      <wps:cNvSpPr>
                        <a:spLocks noChangeArrowheads="1"/>
                      </wps:cNvSpPr>
                      <wps:spPr bwMode="auto">
                        <a:xfrm>
                          <a:off x="0" y="0"/>
                          <a:ext cx="1056640" cy="335280"/>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a:graphicData>
                </a:graphic>
              </wp:anchor>
            </w:drawing>
          </mc:Choice>
          <mc:Fallback>
            <w:pict>
              <v:rect id="矩形 12" o:spid="_x0000_s1026" o:spt="1" style="position:absolute;left:0pt;margin-left:202.15pt;margin-top:16.3pt;height:26.4pt;width:83.2pt;z-index:251660288;v-text-anchor:middle;mso-width-relative:page;mso-height-relative:page;" fillcolor="#FFFFFF" filled="t" stroked="t" coordsize="21600,21600" o:gfxdata="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UINtoA&#10;AAAJAQAADwAAAAAAAAABACAAAAAiAAAAZHJzL2Rvd25yZXYueG1sUEsBAhQAFAAAAAgAh07iQMR6&#10;A5sdAgAAMQQAAA4AAAAAAAAAAQAgAAAAKQEAAGRycy9lMm9Eb2MueG1sUEsFBgAAAAAGAAYAWQEA&#10;ALgFA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3656330</wp:posOffset>
                </wp:positionH>
                <wp:positionV relativeFrom="paragraph">
                  <wp:posOffset>105410</wp:posOffset>
                </wp:positionV>
                <wp:extent cx="1565275" cy="1024255"/>
                <wp:effectExtent l="0" t="0" r="15875" b="23495"/>
                <wp:wrapNone/>
                <wp:docPr id="9" name="矩形 13"/>
                <wp:cNvGraphicFramePr/>
                <a:graphic xmlns:a="http://schemas.openxmlformats.org/drawingml/2006/main">
                  <a:graphicData uri="http://schemas.microsoft.com/office/word/2010/wordprocessingShape">
                    <wps:wsp>
                      <wps:cNvSpPr>
                        <a:spLocks noChangeArrowheads="1"/>
                      </wps:cNvSpPr>
                      <wps:spPr bwMode="auto">
                        <a:xfrm>
                          <a:off x="0" y="0"/>
                          <a:ext cx="1565275" cy="1024255"/>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a:graphicData>
                </a:graphic>
              </wp:anchor>
            </w:drawing>
          </mc:Choice>
          <mc:Fallback>
            <w:pict>
              <v:rect id="矩形 13" o:spid="_x0000_s1026" o:spt="1" style="position:absolute;left:0pt;margin-left:287.9pt;margin-top:8.3pt;height:80.65pt;width:123.25pt;z-index:251661312;v-text-anchor:middle;mso-width-relative:page;mso-height-relative:page;" fillcolor="#FFFFFF" filled="t" stroked="t" coordsize="21600,21600" o:gfxdata="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p5LbLZ&#10;AAAACgEAAA8AAAAAAAAAAQAgAAAAIgAAAGRycy9kb3ducmV2LnhtbFBLAQIUABQAAAAIAIdO4kBT&#10;YPB7HwIAADAEAAAOAAAAAAAAAAEAIAAAACgBAABkcnMvZTJvRG9jLnhtbFBLBQYAAAAABgAGAFkB&#10;AAC5BQ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w:pict>
          </mc:Fallback>
        </mc:AlternateContent>
      </w:r>
    </w:p>
    <w:p>
      <w:pPr>
        <w:spacing w:line="580" w:lineRule="exact"/>
        <w:ind w:firstLine="640"/>
        <w:rPr>
          <w:color w:val="000000"/>
        </w:rPr>
      </w:pPr>
      <w:r>
        <mc:AlternateContent>
          <mc:Choice Requires="wps">
            <w:drawing>
              <wp:anchor distT="0" distB="0" distL="114300" distR="114300" simplePos="0" relativeHeight="251659264" behindDoc="0" locked="0" layoutInCell="1" allowOverlap="1">
                <wp:simplePos x="0" y="0"/>
                <wp:positionH relativeFrom="column">
                  <wp:posOffset>2574925</wp:posOffset>
                </wp:positionH>
                <wp:positionV relativeFrom="paragraph">
                  <wp:posOffset>280670</wp:posOffset>
                </wp:positionV>
                <wp:extent cx="1056640" cy="0"/>
                <wp:effectExtent l="0" t="76200" r="10160" b="114300"/>
                <wp:wrapNone/>
                <wp:docPr id="8"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11" o:spid="_x0000_s1026" o:spt="32" type="#_x0000_t32" style="position:absolute;left:0pt;margin-left:202.75pt;margin-top:22.1pt;height:0pt;width:83.2pt;z-index:251659264;mso-width-relative:page;mso-height-relative:page;" filled="f" stroked="t" coordsize="21600,21600" o:gfxdata="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Zs/KdcAAAAJAQAADwAAAAAAAAABACAAAAAiAAAAZHJzL2Rvd25yZXYueG1sUEsBAhQAFAAA&#10;AAgAh07iQCgX0azwAQAAnQMAAA4AAAAAAAAAAQAgAAAAJgEAAGRycy9lMm9Eb2MueG1sUEsFBgAA&#10;AAAGAAYAWQEAAIgFAAAAAA==&#10;">
                <v:fill on="f" focussize="0,0"/>
                <v:stroke weight="1.5pt" color="#000000" joinstyle="round" endarrow="open"/>
                <v:imagedata o:title=""/>
                <o:lock v:ext="edit" aspectratio="f"/>
              </v:shape>
            </w:pict>
          </mc:Fallback>
        </mc:AlternateContent>
      </w:r>
    </w:p>
    <w:p>
      <w:pPr>
        <w:spacing w:line="580" w:lineRule="exact"/>
        <w:ind w:firstLine="640"/>
        <w:rPr>
          <w:color w:val="000000"/>
        </w:rPr>
      </w:pPr>
    </w:p>
    <w:p>
      <w:pPr>
        <w:spacing w:line="580" w:lineRule="exact"/>
        <w:ind w:firstLine="640"/>
        <w:rPr>
          <w:color w:val="000000"/>
        </w:rPr>
      </w:pPr>
      <w:r>
        <mc:AlternateContent>
          <mc:Choice Requires="wps">
            <w:drawing>
              <wp:anchor distT="0" distB="0" distL="114300" distR="114300" simplePos="0" relativeHeight="251656192" behindDoc="0" locked="0" layoutInCell="1" allowOverlap="1">
                <wp:simplePos x="0" y="0"/>
                <wp:positionH relativeFrom="column">
                  <wp:posOffset>1237615</wp:posOffset>
                </wp:positionH>
                <wp:positionV relativeFrom="paragraph">
                  <wp:posOffset>325120</wp:posOffset>
                </wp:positionV>
                <wp:extent cx="1016000" cy="426720"/>
                <wp:effectExtent l="0" t="0" r="12700" b="11430"/>
                <wp:wrapNone/>
                <wp:docPr id="6" name="矩形 7"/>
                <wp:cNvGraphicFramePr/>
                <a:graphic xmlns:a="http://schemas.openxmlformats.org/drawingml/2006/main">
                  <a:graphicData uri="http://schemas.microsoft.com/office/word/2010/wordprocessingShape">
                    <wps:wsp>
                      <wps:cNvSpPr>
                        <a:spLocks noChangeArrowheads="1"/>
                      </wps:cNvSpPr>
                      <wps:spPr bwMode="auto">
                        <a:xfrm>
                          <a:off x="0" y="0"/>
                          <a:ext cx="1016000" cy="426720"/>
                        </a:xfrm>
                        <a:prstGeom prst="rect">
                          <a:avLst/>
                        </a:prstGeom>
                        <a:solidFill>
                          <a:srgbClr val="FFFFFF"/>
                        </a:solidFill>
                        <a:ln w="25400">
                          <a:solidFill>
                            <a:srgbClr val="FFFFFF"/>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a:graphicData>
                </a:graphic>
              </wp:anchor>
            </w:drawing>
          </mc:Choice>
          <mc:Fallback>
            <w:pict>
              <v:rect id="矩形 7" o:spid="_x0000_s1026" o:spt="1" style="position:absolute;left:0pt;margin-left:97.45pt;margin-top:25.6pt;height:33.6pt;width:80pt;z-index:251656192;v-text-anchor:middle;mso-width-relative:page;mso-height-relative:page;" fillcolor="#FFFFFF" filled="t" stroked="t" coordsize="21600,21600" o:gfxdata="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Dky32QAAAAoBAAAP&#10;AAAAAAAAAAEAIAAAACIAAABkcnMvZG93bnJldi54bWxQSwECFAAUAAAACACHTuJARiu/ohcCAAAv&#10;BAAADgAAAAAAAAABACAAAAAoAQAAZHJzL2Uyb0RvYy54bWxQSwUGAAAAAAYABgBZAQAAsQUAAAAA&#10;">
                <v:fill on="t" focussize="0,0"/>
                <v:stroke weight="2pt" color="#FFFFFF"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符合要求</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1236345</wp:posOffset>
                </wp:positionH>
                <wp:positionV relativeFrom="paragraph">
                  <wp:posOffset>206375</wp:posOffset>
                </wp:positionV>
                <wp:extent cx="0" cy="705485"/>
                <wp:effectExtent l="95250" t="0" r="114300" b="56515"/>
                <wp:wrapNone/>
                <wp:docPr id="7" name="AutoShape 14"/>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AutoShape 14" o:spid="_x0000_s1026" o:spt="32" type="#_x0000_t32" style="position:absolute;left:0pt;flip:x;margin-left:97.35pt;margin-top:16.25pt;height:55.55pt;width:0pt;z-index:251663360;mso-width-relative:page;mso-height-relative:page;" filled="f" stroked="t" coordsize="21600,21600" o:gfxdata="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dY9Sq1wAAAAoBAAAPAAAAAAAAAAEA&#10;IAAAACIAAABkcnMvZG93bnJldi54bWxQSwECFAAUAAAACACHTuJABeNy39cBAACaAwAADgAAAAAA&#10;AAABACAAAAAmAQAAZHJzL2Uyb0RvYy54bWxQSwUGAAAAAAYABgBZAQAAbwUAAAAA&#10;">
                <v:fill on="f" focussize="0,0"/>
                <v:stroke weight="1.5pt" color="#000000" joinstyle="round" endarrow="open"/>
                <v:imagedata o:title=""/>
                <o:lock v:ext="edit" aspectratio="f"/>
              </v:shape>
            </w:pict>
          </mc:Fallback>
        </mc:AlternateContent>
      </w:r>
    </w:p>
    <w:p>
      <w:pPr>
        <w:spacing w:line="580" w:lineRule="exact"/>
        <w:ind w:firstLine="640"/>
        <w:rPr>
          <w:color w:val="000000"/>
        </w:rPr>
      </w:pPr>
    </w:p>
    <w:p>
      <w:pPr>
        <w:spacing w:line="580" w:lineRule="exact"/>
        <w:ind w:firstLine="640"/>
        <w:rPr>
          <w:color w:val="000000"/>
        </w:rPr>
      </w:pPr>
      <w:r>
        <mc:AlternateContent>
          <mc:Choice Requires="wps">
            <w:drawing>
              <wp:anchor distT="0" distB="0" distL="114300" distR="114300" simplePos="0" relativeHeight="251657216" behindDoc="0" locked="0" layoutInCell="1" allowOverlap="1">
                <wp:simplePos x="0" y="0"/>
                <wp:positionH relativeFrom="column">
                  <wp:posOffset>248920</wp:posOffset>
                </wp:positionH>
                <wp:positionV relativeFrom="paragraph">
                  <wp:posOffset>185420</wp:posOffset>
                </wp:positionV>
                <wp:extent cx="1981835" cy="835660"/>
                <wp:effectExtent l="0" t="0" r="18415" b="21590"/>
                <wp:wrapNone/>
                <wp:docPr id="5" name="矩形 8"/>
                <wp:cNvGraphicFramePr/>
                <a:graphic xmlns:a="http://schemas.openxmlformats.org/drawingml/2006/main">
                  <a:graphicData uri="http://schemas.microsoft.com/office/word/2010/wordprocessingShape">
                    <wps:wsp>
                      <wps:cNvSpPr>
                        <a:spLocks noChangeArrowheads="1"/>
                      </wps:cNvSpPr>
                      <wps:spPr bwMode="auto">
                        <a:xfrm>
                          <a:off x="0" y="0"/>
                          <a:ext cx="1981835" cy="835660"/>
                        </a:xfrm>
                        <a:prstGeom prst="rect">
                          <a:avLst/>
                        </a:prstGeom>
                        <a:solidFill>
                          <a:srgbClr val="FFFFFF"/>
                        </a:solidFill>
                        <a:ln w="6350">
                          <a:solidFill>
                            <a:srgbClr val="000000"/>
                          </a:solidFill>
                          <a:miter lim="800000"/>
                        </a:ln>
                      </wps:spPr>
                      <wps:txbx>
                        <w:txbxContent>
                          <w:p>
                            <w:pPr>
                              <w:spacing w:line="240" w:lineRule="auto"/>
                              <w:ind w:firstLine="0" w:firstLineChars="0"/>
                              <w:rPr>
                                <w:rFonts w:ascii="仿宋_GB2312"/>
                                <w:sz w:val="24"/>
                                <w:szCs w:val="24"/>
                              </w:rPr>
                            </w:pPr>
                            <w:r>
                              <w:rPr>
                                <w:rFonts w:hint="eastAsia" w:ascii="仿宋_GB2312"/>
                                <w:sz w:val="24"/>
                                <w:szCs w:val="24"/>
                              </w:rPr>
                              <w:t>国家局药审中心出具《受理通知书》、《缴费通知书》等</w:t>
                            </w:r>
                          </w:p>
                        </w:txbxContent>
                      </wps:txbx>
                      <wps:bodyPr rot="0" vert="horz" wrap="square" lIns="91440" tIns="45720" rIns="91440" bIns="45720" anchor="ctr" anchorCtr="0" upright="1">
                        <a:noAutofit/>
                      </wps:bodyPr>
                    </wps:wsp>
                  </a:graphicData>
                </a:graphic>
              </wp:anchor>
            </w:drawing>
          </mc:Choice>
          <mc:Fallback>
            <w:pict>
              <v:rect id="矩形 8" o:spid="_x0000_s1026" o:spt="1" style="position:absolute;left:0pt;margin-left:19.6pt;margin-top:14.6pt;height:65.8pt;width:156.05pt;z-index:251657216;v-text-anchor:middle;mso-width-relative:page;mso-height-relative:page;" fillcolor="#FFFFFF" filled="t" stroked="t" coordsize="21600,21600" o:gfxdata="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DAlNgAAAAJ&#10;AQAADwAAAAAAAAABACAAAAAiAAAAZHJzL2Rvd25yZXYueG1sUEsBAhQAFAAAAAgAh07iQHLCTiIc&#10;AgAALgQAAA4AAAAAAAAAAQAgAAAAJwEAAGRycy9lMm9Eb2MueG1sUEsFBgAAAAAGAAYAWQEAALUF&#10;AAAAAA==&#10;">
                <v:fill on="t" focussize="0,0"/>
                <v:stroke weight="0.5pt" color="#000000" miterlimit="8" joinstyle="miter"/>
                <v:imagedata o:title=""/>
                <o:lock v:ext="edit" aspectratio="f"/>
                <v:textbox>
                  <w:txbxContent>
                    <w:p>
                      <w:pPr>
                        <w:spacing w:line="240" w:lineRule="auto"/>
                        <w:ind w:firstLine="0" w:firstLineChars="0"/>
                        <w:rPr>
                          <w:rFonts w:ascii="仿宋_GB2312"/>
                          <w:sz w:val="24"/>
                          <w:szCs w:val="24"/>
                        </w:rPr>
                      </w:pPr>
                      <w:r>
                        <w:rPr>
                          <w:rFonts w:hint="eastAsia" w:ascii="仿宋_GB2312"/>
                          <w:sz w:val="24"/>
                          <w:szCs w:val="24"/>
                        </w:rPr>
                        <w:t>国家局药审中心出具《受理通知书》、《缴费通知书》等</w:t>
                      </w:r>
                    </w:p>
                  </w:txbxContent>
                </v:textbox>
              </v:rect>
            </w:pict>
          </mc:Fallback>
        </mc:AlternateContent>
      </w:r>
    </w:p>
    <w:p>
      <w:pPr>
        <w:spacing w:line="580" w:lineRule="exact"/>
        <w:ind w:firstLine="640"/>
        <w:rPr>
          <w:color w:val="000000"/>
        </w:rPr>
      </w:pPr>
    </w:p>
    <w:p>
      <w:pPr>
        <w:spacing w:line="580" w:lineRule="exact"/>
        <w:ind w:firstLine="640"/>
        <w:rPr>
          <w:color w:val="000000"/>
        </w:rPr>
      </w:pPr>
      <w:r>
        <mc:AlternateContent>
          <mc:Choice Requires="wps">
            <w:drawing>
              <wp:anchor distT="0" distB="0" distL="114300" distR="114300" simplePos="0" relativeHeight="251658240" behindDoc="0" locked="0" layoutInCell="1" allowOverlap="1">
                <wp:simplePos x="0" y="0"/>
                <wp:positionH relativeFrom="column">
                  <wp:posOffset>1236345</wp:posOffset>
                </wp:positionH>
                <wp:positionV relativeFrom="paragraph">
                  <wp:posOffset>287020</wp:posOffset>
                </wp:positionV>
                <wp:extent cx="0" cy="705485"/>
                <wp:effectExtent l="95250" t="0" r="114300" b="56515"/>
                <wp:wrapNone/>
                <wp:docPr id="4" name="直接箭头连接符 9"/>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9" o:spid="_x0000_s1026" o:spt="32" type="#_x0000_t32" style="position:absolute;left:0pt;flip:x;margin-left:97.35pt;margin-top:22.6pt;height:55.55pt;width:0pt;z-index:251658240;mso-width-relative:page;mso-height-relative:page;" filled="f" stroked="t" coordsize="21600,21600" o:gfxdata="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Haow1wAAAAoBAAAPAAAAAAAAAAEAIAAAACIAAABkcnMvZG93bnJldi54bWxQSwEC&#10;FAAUAAAACACHTuJA8v/AOvUBAAClAwAADgAAAAAAAAABACAAAAAmAQAAZHJzL2Uyb0RvYy54bWxQ&#10;SwUGAAAAAAYABgBZAQAAjQUAAAAA&#10;">
                <v:fill on="f" focussize="0,0"/>
                <v:stroke weight="1.5pt" color="#000000" joinstyle="round" endarrow="open"/>
                <v:imagedata o:title=""/>
                <o:lock v:ext="edit" aspectratio="f"/>
              </v:shape>
            </w:pict>
          </mc:Fallback>
        </mc:AlternateContent>
      </w:r>
    </w:p>
    <w:p>
      <w:pPr>
        <w:spacing w:line="580" w:lineRule="exact"/>
        <w:ind w:firstLine="640"/>
        <w:rPr>
          <w:rFonts w:ascii="黑体" w:hAnsi="黑体" w:eastAsia="黑体" w:cs="仿宋_GB2312"/>
          <w:color w:val="000000"/>
        </w:rPr>
      </w:pPr>
      <w:r>
        <mc:AlternateContent>
          <mc:Choice Requires="wps">
            <w:drawing>
              <wp:anchor distT="0" distB="0" distL="113665" distR="113665" simplePos="0" relativeHeight="251652096" behindDoc="0" locked="0" layoutInCell="1" allowOverlap="1">
                <wp:simplePos x="0" y="0"/>
                <wp:positionH relativeFrom="column">
                  <wp:posOffset>-1428750</wp:posOffset>
                </wp:positionH>
                <wp:positionV relativeFrom="paragraph">
                  <wp:posOffset>60960</wp:posOffset>
                </wp:positionV>
                <wp:extent cx="0" cy="533400"/>
                <wp:effectExtent l="76835" t="15875" r="85090" b="22225"/>
                <wp:wrapNone/>
                <wp:docPr id="1" name="直接箭头连接符 6"/>
                <wp:cNvGraphicFramePr/>
                <a:graphic xmlns:a="http://schemas.openxmlformats.org/drawingml/2006/main">
                  <a:graphicData uri="http://schemas.microsoft.com/office/word/2010/wordprocessingShape">
                    <wps:wsp>
                      <wps:cNvCnPr>
                        <a:cxnSpLocks noChangeShapeType="1"/>
                      </wps:cNvCnPr>
                      <wps:spPr bwMode="auto">
                        <a:xfrm flipH="1">
                          <a:off x="0" y="0"/>
                          <a:ext cx="0" cy="53340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6" o:spid="_x0000_s1026" o:spt="32" type="#_x0000_t32" style="position:absolute;left:0pt;flip:x;margin-left:-112.5pt;margin-top:4.8pt;height:42pt;width:0pt;z-index:251652096;mso-width-relative:page;mso-height-relative:page;" filled="f" stroked="t" coordsize="21600,21600" o:gfxdata="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cpJB91gAAAAoBAAAPAAAAAAAAAAEAIAAAACIAAABkcnMvZG93bnJldi54bWxQSwEC&#10;FAAUAAAACACHTuJAVAGa9/YBAAClAwAADgAAAAAAAAABACAAAAAlAQAAZHJzL2Uyb0RvYy54bWxQ&#10;SwUGAAAAAAYABgBZAQAAjQUAAAAA&#10;">
                <v:fill on="f" focussize="0,0"/>
                <v:stroke weight="1.5pt" color="#000000" joinstyle="round" endarrow="open"/>
                <v:imagedata o:title=""/>
                <o:lock v:ext="edit" aspectratio="f"/>
              </v:shape>
            </w:pict>
          </mc:Fallback>
        </mc:AlternateContent>
      </w:r>
    </w:p>
    <w:p>
      <w:pPr>
        <w:spacing w:line="580" w:lineRule="exact"/>
        <w:ind w:firstLine="640"/>
        <w:rPr>
          <w:rFonts w:ascii="黑体" w:hAnsi="黑体" w:eastAsia="黑体" w:cs="仿宋_GB2312"/>
          <w:color w:val="000000"/>
        </w:rPr>
      </w:pPr>
      <w:r>
        <mc:AlternateContent>
          <mc:Choice Requires="wps">
            <w:drawing>
              <wp:anchor distT="0" distB="0" distL="114300" distR="114300" simplePos="0" relativeHeight="251662336" behindDoc="0" locked="0" layoutInCell="1" allowOverlap="1">
                <wp:simplePos x="0" y="0"/>
                <wp:positionH relativeFrom="column">
                  <wp:posOffset>438150</wp:posOffset>
                </wp:positionH>
                <wp:positionV relativeFrom="paragraph">
                  <wp:posOffset>253365</wp:posOffset>
                </wp:positionV>
                <wp:extent cx="1605915" cy="683260"/>
                <wp:effectExtent l="0" t="0" r="13335" b="21590"/>
                <wp:wrapNone/>
                <wp:docPr id="2" name="流程图: 可选过程 14"/>
                <wp:cNvGraphicFramePr/>
                <a:graphic xmlns:a="http://schemas.openxmlformats.org/drawingml/2006/main">
                  <a:graphicData uri="http://schemas.microsoft.com/office/word/2010/wordprocessingShape">
                    <wps:wsp>
                      <wps:cNvSpPr>
                        <a:spLocks noChangeArrowheads="1"/>
                      </wps:cNvSpPr>
                      <wps:spPr bwMode="auto">
                        <a:xfrm>
                          <a:off x="0" y="0"/>
                          <a:ext cx="1605915" cy="683260"/>
                        </a:xfrm>
                        <a:prstGeom prst="flowChartAlternateProcess">
                          <a:avLst/>
                        </a:prstGeom>
                        <a:solidFill>
                          <a:srgbClr val="FFFFFF"/>
                        </a:solidFill>
                        <a:ln w="6350">
                          <a:solidFill>
                            <a:srgbClr val="000000"/>
                          </a:solidFill>
                          <a:miter lim="800000"/>
                        </a:ln>
                      </wps:spPr>
                      <wps:txb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中心技术审评</w:t>
                            </w:r>
                          </w:p>
                        </w:txbxContent>
                      </wps:txbx>
                      <wps:bodyPr rot="0" vert="horz" wrap="square" lIns="91440" tIns="45720" rIns="91440" bIns="45720" anchor="ctr" anchorCtr="0" upright="1">
                        <a:noAutofit/>
                      </wps:bodyPr>
                    </wps:wsp>
                  </a:graphicData>
                </a:graphic>
              </wp:anchor>
            </w:drawing>
          </mc:Choice>
          <mc:Fallback>
            <w:pict>
              <v:shape id="流程图: 可选过程 14" o:spid="_x0000_s1026" o:spt="176" type="#_x0000_t176" style="position:absolute;left:0pt;margin-left:34.5pt;margin-top:19.95pt;height:53.8pt;width:126.45pt;z-index:251662336;v-text-anchor:middle;mso-width-relative:page;mso-height-relative:page;" fillcolor="#FFFFFF" filled="t" stroked="t" coordsize="21600,21600" o:gfxdata="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Mu22doAAAAJAQAADwAAAAAAAAAB&#10;ACAAAAAiAAAAZHJzL2Rvd25yZXYueG1sUEsBAhQAFAAAAAgAh07iQJ1kdzlHAgAAVQQAAA4AAAAA&#10;AAAAAQAgAAAAKQEAAGRycy9lMm9Eb2MueG1sUEsFBgAAAAAGAAYAWQEAAOIFAAAAAA==&#10;">
                <v:fill on="t" focussize="0,0"/>
                <v:stroke weight="0.5pt" color="#000000" miterlimit="8" joinstyle="miter"/>
                <v:imagedata o:title=""/>
                <o:lock v:ext="edit" aspectratio="f"/>
                <v:textbo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中心技术审评</w:t>
                      </w:r>
                    </w:p>
                  </w:txbxContent>
                </v:textbox>
              </v:shape>
            </w:pict>
          </mc:Fallback>
        </mc:AlternateContent>
      </w:r>
    </w:p>
    <w:p>
      <w:pPr>
        <w:overflowPunct w:val="0"/>
        <w:spacing w:line="580" w:lineRule="exact"/>
        <w:ind w:firstLine="0" w:firstLineChars="0"/>
      </w:pPr>
    </w:p>
    <w:p>
      <w:pPr>
        <w:overflowPunct w:val="0"/>
        <w:spacing w:line="580" w:lineRule="exact"/>
        <w:ind w:firstLine="0" w:firstLineChars="0"/>
      </w:pPr>
    </w:p>
    <w:p>
      <w:pPr>
        <w:pStyle w:val="4"/>
        <w:keepNext w:val="0"/>
        <w:keepLines w:val="0"/>
        <w:overflowPunct w:val="0"/>
        <w:spacing w:line="580" w:lineRule="exact"/>
        <w:ind w:firstLine="640"/>
        <w:rPr>
          <w:rFonts w:ascii="黑体" w:hAnsi="黑体"/>
        </w:rPr>
      </w:pPr>
      <w:r>
        <w:rPr>
          <w:rFonts w:hint="eastAsia" w:ascii="黑体" w:hAnsi="黑体"/>
        </w:rPr>
        <w:t>六、其他</w:t>
      </w:r>
    </w:p>
    <w:p>
      <w:pPr>
        <w:spacing w:line="580" w:lineRule="exact"/>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其他未尽事宜请参照《药品</w:t>
      </w:r>
      <w:r>
        <w:rPr>
          <w:color w:val="000000" w:themeColor="text1"/>
          <w14:textFill>
            <w14:solidFill>
              <w14:schemeClr w14:val="tx1"/>
            </w14:solidFill>
          </w14:textFill>
        </w:rPr>
        <w:t>注册管理办法</w:t>
      </w:r>
      <w:r>
        <w:rPr>
          <w:rFonts w:hint="eastAsia"/>
          <w:color w:val="000000" w:themeColor="text1"/>
          <w14:textFill>
            <w14:solidFill>
              <w14:schemeClr w14:val="tx1"/>
            </w14:solidFill>
          </w14:textFill>
        </w:rPr>
        <w:t>》等现行的法律法规、技术指导原则有关要求执行。</w:t>
      </w:r>
    </w:p>
    <w:p>
      <w:pPr>
        <w:pStyle w:val="4"/>
        <w:keepNext w:val="0"/>
        <w:keepLines w:val="0"/>
        <w:overflowPunct w:val="0"/>
        <w:spacing w:line="580" w:lineRule="exact"/>
        <w:ind w:firstLine="640"/>
        <w:rPr>
          <w:rFonts w:ascii="黑体" w:hAnsi="黑体"/>
        </w:rPr>
      </w:pPr>
      <w:r>
        <w:rPr>
          <w:rFonts w:hint="eastAsia" w:ascii="黑体" w:hAnsi="黑体"/>
        </w:rPr>
        <w:t>七、附件</w:t>
      </w:r>
    </w:p>
    <w:p>
      <w:pPr>
        <w:overflowPunct w:val="0"/>
        <w:spacing w:line="580" w:lineRule="exact"/>
        <w:ind w:firstLine="640"/>
        <w:rPr>
          <w:rStyle w:val="22"/>
          <w:rFonts w:ascii="仿宋_GB2312"/>
          <w:color w:val="auto"/>
          <w:u w:val="none" w:color="000000"/>
        </w:rPr>
      </w:pPr>
      <w:r>
        <w:rPr>
          <w:rStyle w:val="22"/>
          <w:rFonts w:ascii="仿宋_GB2312"/>
          <w:color w:val="auto"/>
          <w:u w:val="none" w:color="000000"/>
        </w:rPr>
        <w:t>1</w:t>
      </w:r>
      <w:r>
        <w:rPr>
          <w:rStyle w:val="22"/>
          <w:rFonts w:hint="eastAsia" w:ascii="仿宋_GB2312"/>
          <w:color w:val="auto"/>
          <w:u w:val="none" w:color="000000"/>
        </w:rPr>
        <w:t xml:space="preserve">．按生物制品管理的体外诊断试剂注册申报资料自查表 </w:t>
      </w:r>
    </w:p>
    <w:p>
      <w:pPr>
        <w:overflowPunct w:val="0"/>
        <w:spacing w:line="580" w:lineRule="exact"/>
        <w:ind w:firstLine="640"/>
        <w:rPr>
          <w:rFonts w:eastAsia="黑体"/>
          <w:u w:color="000000"/>
        </w:rPr>
      </w:pPr>
      <w:r>
        <w:rPr>
          <w:rStyle w:val="22"/>
          <w:rFonts w:ascii="仿宋_GB2312"/>
          <w:color w:val="auto"/>
          <w:u w:val="none" w:color="000000"/>
        </w:rPr>
        <w:t>2</w:t>
      </w:r>
      <w:r>
        <w:rPr>
          <w:rStyle w:val="22"/>
          <w:rFonts w:hint="eastAsia" w:ascii="仿宋_GB2312"/>
          <w:color w:val="auto"/>
          <w:u w:val="none" w:color="000000"/>
        </w:rPr>
        <w:t>．</w:t>
      </w:r>
      <w:r>
        <w:rPr>
          <w:rStyle w:val="22"/>
          <w:rFonts w:hint="eastAsia"/>
          <w:color w:val="auto"/>
          <w:u w:val="none" w:color="000000"/>
        </w:rPr>
        <w:t>参考目录</w:t>
      </w:r>
      <w:r>
        <w:rPr>
          <w:rFonts w:ascii="仿宋_GB2312" w:hAnsi="仿宋" w:cs="仿宋_GB2312"/>
          <w:color w:val="000000"/>
        </w:rPr>
        <w:br w:type="page"/>
      </w:r>
      <w:r>
        <w:rPr>
          <w:rFonts w:hint="eastAsia" w:eastAsia="黑体"/>
          <w:u w:color="000000"/>
        </w:rPr>
        <w:t>附</w:t>
      </w:r>
      <w:r>
        <w:rPr>
          <w:rFonts w:eastAsia="黑体"/>
          <w:u w:color="000000"/>
        </w:rPr>
        <w:t>1</w:t>
      </w:r>
    </w:p>
    <w:p>
      <w:pPr>
        <w:pStyle w:val="3"/>
        <w:keepNext w:val="0"/>
        <w:keepLines w:val="0"/>
        <w:tabs>
          <w:tab w:val="left" w:pos="420"/>
        </w:tabs>
        <w:overflowPunct w:val="0"/>
        <w:adjustRightInd w:val="0"/>
        <w:snapToGrid w:val="0"/>
        <w:spacing w:before="0" w:after="0" w:line="580" w:lineRule="exact"/>
        <w:ind w:firstLine="0" w:firstLineChars="0"/>
        <w:jc w:val="center"/>
        <w:rPr>
          <w:rFonts w:ascii="方正小标宋简体" w:hAnsi="方正小标宋简体" w:eastAsia="方正小标宋简体" w:cs="方正小标宋简体"/>
          <w:b w:val="0"/>
          <w:bCs w:val="0"/>
          <w:color w:val="000000"/>
          <w:sz w:val="44"/>
          <w:szCs w:val="44"/>
        </w:rPr>
      </w:pPr>
      <w:bookmarkStart w:id="14" w:name="_Toc33798944"/>
      <w:r>
        <w:rPr>
          <w:rFonts w:hint="eastAsia" w:ascii="方正小标宋简体" w:hAnsi="方正小标宋简体" w:eastAsia="方正小标宋简体" w:cs="方正小标宋简体"/>
          <w:b w:val="0"/>
          <w:bCs w:val="0"/>
          <w:color w:val="000000"/>
          <w:sz w:val="44"/>
          <w:szCs w:val="44"/>
        </w:rPr>
        <w:t>按生物制品管理的体外诊断试剂注册申报资料自查表</w:t>
      </w:r>
      <w:bookmarkEnd w:id="14"/>
    </w:p>
    <w:p>
      <w:pPr>
        <w:spacing w:line="580" w:lineRule="exact"/>
        <w:ind w:firstLine="0" w:firstLineChars="0"/>
        <w:jc w:val="center"/>
        <w:rPr>
          <w:sz w:val="44"/>
          <w:szCs w:val="44"/>
        </w:rPr>
      </w:pPr>
    </w:p>
    <w:tbl>
      <w:tblPr>
        <w:tblStyle w:val="24"/>
        <w:tblW w:w="88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2502"/>
        <w:gridCol w:w="476"/>
        <w:gridCol w:w="1409"/>
        <w:gridCol w:w="1284"/>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7" w:type="dxa"/>
            <w:vAlign w:val="center"/>
          </w:tcPr>
          <w:p>
            <w:pPr>
              <w:overflowPunct w:val="0"/>
              <w:spacing w:line="580" w:lineRule="exact"/>
              <w:ind w:firstLine="0" w:firstLineChars="0"/>
              <w:jc w:val="center"/>
              <w:rPr>
                <w:rFonts w:ascii="仿宋_GB2312"/>
                <w:bCs/>
                <w:sz w:val="24"/>
                <w:szCs w:val="24"/>
              </w:rPr>
            </w:pPr>
            <w:r>
              <w:rPr>
                <w:rFonts w:hint="eastAsia" w:ascii="仿宋_GB2312"/>
                <w:bCs/>
                <w:sz w:val="24"/>
                <w:szCs w:val="24"/>
              </w:rPr>
              <w:t>药品名称</w:t>
            </w:r>
          </w:p>
        </w:tc>
        <w:tc>
          <w:tcPr>
            <w:tcW w:w="2502" w:type="dxa"/>
            <w:vAlign w:val="center"/>
          </w:tcPr>
          <w:p>
            <w:pPr>
              <w:overflowPunct w:val="0"/>
              <w:spacing w:line="580" w:lineRule="exact"/>
              <w:ind w:firstLine="0" w:firstLineChars="0"/>
              <w:jc w:val="center"/>
              <w:rPr>
                <w:rFonts w:ascii="仿宋_GB2312"/>
                <w:bCs/>
                <w:sz w:val="24"/>
                <w:szCs w:val="24"/>
              </w:rPr>
            </w:pPr>
          </w:p>
        </w:tc>
        <w:tc>
          <w:tcPr>
            <w:tcW w:w="1885" w:type="dxa"/>
            <w:gridSpan w:val="2"/>
            <w:vAlign w:val="center"/>
          </w:tcPr>
          <w:p>
            <w:pPr>
              <w:overflowPunct w:val="0"/>
              <w:spacing w:line="580" w:lineRule="exact"/>
              <w:ind w:firstLine="0" w:firstLineChars="0"/>
              <w:jc w:val="center"/>
              <w:rPr>
                <w:rFonts w:ascii="仿宋_GB2312"/>
                <w:bCs/>
                <w:sz w:val="24"/>
                <w:szCs w:val="24"/>
              </w:rPr>
            </w:pPr>
            <w:r>
              <w:rPr>
                <w:rFonts w:hint="eastAsia" w:ascii="仿宋_GB2312"/>
                <w:bCs/>
                <w:sz w:val="24"/>
                <w:szCs w:val="24"/>
              </w:rPr>
              <w:t>注册分类</w:t>
            </w:r>
          </w:p>
        </w:tc>
        <w:tc>
          <w:tcPr>
            <w:tcW w:w="2610" w:type="dxa"/>
            <w:gridSpan w:val="2"/>
            <w:vAlign w:val="center"/>
          </w:tcPr>
          <w:p>
            <w:pPr>
              <w:overflowPunct w:val="0"/>
              <w:spacing w:line="580" w:lineRule="exact"/>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7" w:type="dxa"/>
            <w:vAlign w:val="center"/>
          </w:tcPr>
          <w:p>
            <w:pPr>
              <w:overflowPunct w:val="0"/>
              <w:spacing w:line="580" w:lineRule="exact"/>
              <w:ind w:firstLine="0" w:firstLineChars="0"/>
              <w:jc w:val="center"/>
              <w:rPr>
                <w:rFonts w:ascii="仿宋_GB2312"/>
                <w:bCs/>
                <w:sz w:val="24"/>
                <w:szCs w:val="24"/>
              </w:rPr>
            </w:pPr>
            <w:r>
              <w:rPr>
                <w:rFonts w:hint="eastAsia" w:ascii="仿宋_GB2312"/>
                <w:bCs/>
                <w:sz w:val="24"/>
                <w:szCs w:val="24"/>
              </w:rPr>
              <w:t>申 请 人</w:t>
            </w:r>
          </w:p>
        </w:tc>
        <w:tc>
          <w:tcPr>
            <w:tcW w:w="6997" w:type="dxa"/>
            <w:gridSpan w:val="5"/>
            <w:vAlign w:val="center"/>
          </w:tcPr>
          <w:p>
            <w:pPr>
              <w:overflowPunct w:val="0"/>
              <w:spacing w:line="580" w:lineRule="exact"/>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7" w:type="dxa"/>
            <w:vAlign w:val="center"/>
          </w:tcPr>
          <w:p>
            <w:pPr>
              <w:overflowPunct w:val="0"/>
              <w:spacing w:line="580" w:lineRule="exact"/>
              <w:ind w:firstLine="0" w:firstLineChars="0"/>
              <w:jc w:val="center"/>
              <w:rPr>
                <w:rFonts w:ascii="仿宋_GB2312"/>
                <w:bCs/>
                <w:sz w:val="24"/>
                <w:szCs w:val="24"/>
              </w:rPr>
            </w:pPr>
            <w:r>
              <w:rPr>
                <w:rFonts w:hint="eastAsia" w:ascii="仿宋_GB2312"/>
                <w:bCs/>
                <w:sz w:val="24"/>
                <w:szCs w:val="24"/>
              </w:rPr>
              <w:t>沟通交流编号</w:t>
            </w:r>
          </w:p>
        </w:tc>
        <w:tc>
          <w:tcPr>
            <w:tcW w:w="6997" w:type="dxa"/>
            <w:gridSpan w:val="5"/>
            <w:vAlign w:val="center"/>
          </w:tcPr>
          <w:p>
            <w:pPr>
              <w:overflowPunct w:val="0"/>
              <w:spacing w:line="580" w:lineRule="exact"/>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834" w:type="dxa"/>
            <w:gridSpan w:val="6"/>
            <w:vAlign w:val="center"/>
          </w:tcPr>
          <w:p>
            <w:pPr>
              <w:overflowPunct w:val="0"/>
              <w:spacing w:line="580" w:lineRule="exact"/>
              <w:ind w:firstLine="0" w:firstLineChars="0"/>
              <w:jc w:val="center"/>
              <w:rPr>
                <w:rFonts w:ascii="仿宋_GB2312" w:hAnsi="黑体"/>
                <w:bCs/>
                <w:sz w:val="24"/>
                <w:szCs w:val="24"/>
              </w:rPr>
            </w:pPr>
            <w:r>
              <w:rPr>
                <w:rFonts w:hint="eastAsia" w:ascii="仿宋_GB2312" w:hAnsi="黑体"/>
                <w:bCs/>
                <w:sz w:val="28"/>
                <w:szCs w:val="28"/>
              </w:rPr>
              <w:t>一、基本要求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1.1资料项目及目录是否按申报资料要求提交</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1.2《药品生产许可证》有相应生产范围</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p>
            <w:pPr>
              <w:overflowPunct w:val="0"/>
              <w:spacing w:line="580" w:lineRule="exact"/>
              <w:ind w:firstLine="0" w:firstLineChars="0"/>
              <w:jc w:val="left"/>
              <w:rPr>
                <w:rFonts w:ascii="仿宋_GB2312"/>
                <w:bCs/>
                <w:sz w:val="24"/>
                <w:szCs w:val="24"/>
              </w:rPr>
            </w:pPr>
            <w:r>
              <w:rPr>
                <w:rFonts w:hint="eastAsia" w:ascii="仿宋_GB2312"/>
                <w:bCs/>
                <w:sz w:val="24"/>
                <w:szCs w:val="24"/>
              </w:rPr>
              <w:t>□不适用</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1.3申报事项是否符合要求</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1.4是否按要求完成沟通交流并提供申报资料补充完善的情况说明。</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p>
            <w:pPr>
              <w:overflowPunct w:val="0"/>
              <w:spacing w:line="580" w:lineRule="exact"/>
              <w:ind w:firstLine="0" w:firstLineChars="0"/>
              <w:jc w:val="left"/>
              <w:rPr>
                <w:rFonts w:ascii="仿宋_GB2312"/>
                <w:bCs/>
                <w:sz w:val="24"/>
                <w:szCs w:val="24"/>
              </w:rPr>
            </w:pPr>
            <w:r>
              <w:rPr>
                <w:rFonts w:hint="eastAsia" w:ascii="仿宋_GB2312"/>
                <w:bCs/>
                <w:sz w:val="24"/>
                <w:szCs w:val="24"/>
              </w:rPr>
              <w:t>□不适用</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1.5是否逐个封面加盖申请人或注册代理机构印章</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1.6是否按照填表说明要求填写申请表</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1.7申请表填报信息是否与申报资料中内容一致</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1.8申报资料是否符合《申报资料基本要求》</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1.9是否已向中检院或省、自治区、直辖市药品监督管理部门提出药品注册检验，并提交送检凭证复印件。</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1.10申请人提出药品上市许可申请时，是否声明完成了支持药品上市注册的药学和临床研究，确定质量标准，完成商业规模生产工艺验证，并做好接受药品注册核查检验的准备。</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15" w:type="dxa"/>
            <w:gridSpan w:val="3"/>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1.11国家局其他相关规定不予受理的情形</w:t>
            </w:r>
          </w:p>
        </w:tc>
        <w:tc>
          <w:tcPr>
            <w:tcW w:w="1409"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□是</w:t>
            </w:r>
          </w:p>
        </w:tc>
        <w:tc>
          <w:tcPr>
            <w:tcW w:w="1284" w:type="dxa"/>
            <w:vAlign w:val="center"/>
          </w:tcPr>
          <w:p>
            <w:pPr>
              <w:overflowPunct w:val="0"/>
              <w:spacing w:line="580" w:lineRule="exact"/>
              <w:ind w:firstLine="0" w:firstLineChars="0"/>
              <w:jc w:val="left"/>
              <w:rPr>
                <w:rFonts w:ascii="仿宋_GB2312"/>
                <w:bCs/>
                <w:sz w:val="24"/>
                <w:szCs w:val="24"/>
              </w:rPr>
            </w:pPr>
            <w:r>
              <w:rPr>
                <w:rFonts w:hint="eastAsia" w:ascii="仿宋_GB2312"/>
                <w:bCs/>
                <w:sz w:val="24"/>
                <w:szCs w:val="24"/>
              </w:rPr>
              <w:t>□否</w:t>
            </w:r>
          </w:p>
        </w:tc>
        <w:tc>
          <w:tcPr>
            <w:tcW w:w="1326" w:type="dxa"/>
            <w:vAlign w:val="center"/>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34" w:type="dxa"/>
            <w:gridSpan w:val="6"/>
            <w:vAlign w:val="center"/>
          </w:tcPr>
          <w:p>
            <w:pPr>
              <w:overflowPunct w:val="0"/>
              <w:spacing w:line="580" w:lineRule="exact"/>
              <w:ind w:firstLine="0" w:firstLineChars="0"/>
              <w:jc w:val="center"/>
              <w:rPr>
                <w:rFonts w:ascii="仿宋_GB2312" w:hAnsi="黑体"/>
                <w:bCs/>
                <w:sz w:val="28"/>
                <w:szCs w:val="28"/>
              </w:rPr>
            </w:pPr>
            <w:r>
              <w:rPr>
                <w:rFonts w:hint="eastAsia" w:ascii="仿宋_GB2312" w:hAnsi="黑体"/>
                <w:bCs/>
                <w:sz w:val="28"/>
                <w:szCs w:val="28"/>
              </w:rPr>
              <w:t>二、申报资料审查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2.立题目的与依据</w:t>
            </w:r>
          </w:p>
        </w:tc>
        <w:tc>
          <w:tcPr>
            <w:tcW w:w="1409" w:type="dxa"/>
            <w:vAlign w:val="center"/>
          </w:tcPr>
          <w:p>
            <w:pPr>
              <w:spacing w:line="580" w:lineRule="exact"/>
              <w:ind w:firstLine="0" w:firstLineChars="0"/>
              <w:rPr>
                <w:rFonts w:ascii="仿宋_GB2312"/>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r>
              <w:rPr>
                <w:rFonts w:hint="eastAsia" w:ascii="仿宋_GB2312"/>
                <w:bCs/>
                <w:sz w:val="24"/>
                <w:szCs w:val="24"/>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3.自评估报告</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4.同类产品信息</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5.产品说明书及起草说明</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6.包装、标签样稿</w:t>
            </w:r>
          </w:p>
        </w:tc>
        <w:tc>
          <w:tcPr>
            <w:tcW w:w="1409" w:type="dxa"/>
            <w:vAlign w:val="center"/>
          </w:tcPr>
          <w:p>
            <w:pPr>
              <w:spacing w:line="580" w:lineRule="exact"/>
              <w:ind w:firstLine="0" w:firstLineChars="0"/>
              <w:rPr>
                <w:rFonts w:ascii="仿宋_GB2312"/>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7.药品通用名称核定申请材料</w:t>
            </w:r>
          </w:p>
        </w:tc>
        <w:tc>
          <w:tcPr>
            <w:tcW w:w="1409" w:type="dxa"/>
            <w:vAlign w:val="center"/>
          </w:tcPr>
          <w:p>
            <w:pPr>
              <w:spacing w:line="580" w:lineRule="exact"/>
              <w:ind w:firstLine="0" w:firstLineChars="0"/>
              <w:rPr>
                <w:rFonts w:ascii="仿宋_GB2312"/>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834" w:type="dxa"/>
            <w:gridSpan w:val="6"/>
          </w:tcPr>
          <w:p>
            <w:pPr>
              <w:overflowPunct w:val="0"/>
              <w:spacing w:line="580" w:lineRule="exact"/>
              <w:ind w:firstLine="0" w:firstLineChars="0"/>
              <w:jc w:val="left"/>
              <w:rPr>
                <w:rFonts w:ascii="仿宋_GB2312"/>
                <w:bCs/>
                <w:sz w:val="24"/>
                <w:szCs w:val="24"/>
              </w:rPr>
            </w:pPr>
            <w:r>
              <w:rPr>
                <w:rFonts w:hint="eastAsia" w:ascii="仿宋_GB2312"/>
                <w:bCs/>
                <w:sz w:val="24"/>
                <w:szCs w:val="24"/>
              </w:rPr>
              <w:t>（二）主要研究信息汇总表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8.产品基本信息</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r>
              <w:rPr>
                <w:rFonts w:hint="eastAsia" w:ascii="仿宋_GB2312"/>
                <w:bCs/>
                <w:sz w:val="24"/>
                <w:szCs w:val="24"/>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9.分析性能信息汇总</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10.临床试验信息汇总</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834" w:type="dxa"/>
            <w:gridSpan w:val="6"/>
          </w:tcPr>
          <w:p>
            <w:pPr>
              <w:spacing w:line="580" w:lineRule="exact"/>
              <w:ind w:firstLine="0" w:firstLineChars="0"/>
              <w:jc w:val="left"/>
              <w:rPr>
                <w:rFonts w:ascii="仿宋_GB2312"/>
                <w:bCs/>
                <w:sz w:val="24"/>
                <w:szCs w:val="24"/>
              </w:rPr>
            </w:pPr>
            <w:r>
              <w:rPr>
                <w:rFonts w:hint="eastAsia" w:ascii="仿宋_GB2312"/>
                <w:bCs/>
                <w:sz w:val="24"/>
                <w:szCs w:val="24"/>
              </w:rPr>
              <w:t>（三）研究资料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11.主要原材料的研究资料</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r>
              <w:rPr>
                <w:rFonts w:hint="eastAsia" w:ascii="仿宋_GB2312"/>
                <w:bCs/>
                <w:sz w:val="24"/>
                <w:szCs w:val="24"/>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12.主要工艺过程及试验方法的研究资料</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13.参考值（范围）确定资料</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14.分析性能评估资料</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15.稳定性研究资料</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16.连续3批产品生产及自检记录、制造及检定规程</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15" w:type="dxa"/>
            <w:gridSpan w:val="3"/>
          </w:tcPr>
          <w:p>
            <w:pPr>
              <w:overflowPunct w:val="0"/>
              <w:spacing w:line="580" w:lineRule="exact"/>
              <w:ind w:firstLine="0" w:firstLineChars="0"/>
              <w:jc w:val="left"/>
              <w:rPr>
                <w:rFonts w:ascii="仿宋_GB2312"/>
                <w:bCs/>
                <w:sz w:val="24"/>
                <w:szCs w:val="24"/>
              </w:rPr>
            </w:pPr>
            <w:r>
              <w:rPr>
                <w:rFonts w:hint="eastAsia" w:ascii="仿宋_GB2312"/>
                <w:bCs/>
                <w:sz w:val="24"/>
                <w:szCs w:val="24"/>
              </w:rPr>
              <w:t>17.临床试验资料</w:t>
            </w:r>
          </w:p>
          <w:p>
            <w:pPr>
              <w:overflowPunct w:val="0"/>
              <w:spacing w:line="580" w:lineRule="exact"/>
              <w:ind w:firstLine="0" w:firstLineChars="0"/>
              <w:jc w:val="left"/>
              <w:rPr>
                <w:rFonts w:ascii="仿宋_GB2312"/>
                <w:bCs/>
                <w:sz w:val="24"/>
                <w:szCs w:val="24"/>
              </w:rPr>
            </w:pPr>
            <w:r>
              <w:rPr>
                <w:rFonts w:hint="eastAsia" w:ascii="仿宋_GB2312"/>
                <w:bCs/>
                <w:sz w:val="24"/>
                <w:szCs w:val="24"/>
              </w:rPr>
              <w:t>17.1是否提交临床试验报告</w:t>
            </w:r>
          </w:p>
          <w:p>
            <w:pPr>
              <w:overflowPunct w:val="0"/>
              <w:spacing w:line="580" w:lineRule="exact"/>
              <w:ind w:firstLine="0" w:firstLineChars="0"/>
              <w:jc w:val="left"/>
              <w:rPr>
                <w:rFonts w:ascii="仿宋_GB2312"/>
                <w:bCs/>
                <w:sz w:val="24"/>
                <w:szCs w:val="24"/>
              </w:rPr>
            </w:pPr>
            <w:r>
              <w:rPr>
                <w:rFonts w:hint="eastAsia" w:ascii="仿宋_GB2312"/>
                <w:bCs/>
                <w:sz w:val="24"/>
                <w:szCs w:val="24"/>
              </w:rPr>
              <w:t>17.2临床试验报告封面是否符合要求</w:t>
            </w:r>
          </w:p>
          <w:p>
            <w:pPr>
              <w:overflowPunct w:val="0"/>
              <w:spacing w:line="580" w:lineRule="exact"/>
              <w:ind w:firstLine="0" w:firstLineChars="0"/>
              <w:jc w:val="left"/>
              <w:rPr>
                <w:rFonts w:ascii="仿宋_GB2312"/>
                <w:bCs/>
                <w:sz w:val="24"/>
                <w:szCs w:val="24"/>
              </w:rPr>
            </w:pPr>
            <w:r>
              <w:rPr>
                <w:rFonts w:hint="eastAsia" w:ascii="仿宋_GB2312"/>
                <w:bCs/>
                <w:sz w:val="24"/>
                <w:szCs w:val="24"/>
              </w:rPr>
              <w:t>17.3临床试验报告盖章是否符合要求</w:t>
            </w:r>
          </w:p>
        </w:tc>
        <w:tc>
          <w:tcPr>
            <w:tcW w:w="1409" w:type="dxa"/>
            <w:vAlign w:val="center"/>
          </w:tcPr>
          <w:p>
            <w:pPr>
              <w:spacing w:line="580" w:lineRule="exact"/>
              <w:ind w:firstLine="0" w:firstLineChars="0"/>
              <w:rPr>
                <w:rFonts w:ascii="仿宋_GB2312"/>
                <w:bCs/>
                <w:sz w:val="24"/>
                <w:szCs w:val="24"/>
              </w:rPr>
            </w:pPr>
            <w:r>
              <w:rPr>
                <w:rFonts w:hint="eastAsia" w:ascii="仿宋_GB2312"/>
                <w:sz w:val="24"/>
                <w:szCs w:val="24"/>
              </w:rPr>
              <w:t>□有/</w:t>
            </w:r>
            <w:r>
              <w:rPr>
                <w:rFonts w:hint="eastAsia" w:ascii="仿宋_GB2312"/>
                <w:bCs/>
                <w:sz w:val="24"/>
                <w:szCs w:val="24"/>
              </w:rPr>
              <w:t>不适用</w:t>
            </w:r>
          </w:p>
        </w:tc>
        <w:tc>
          <w:tcPr>
            <w:tcW w:w="1284" w:type="dxa"/>
          </w:tcPr>
          <w:p>
            <w:pPr>
              <w:spacing w:line="580" w:lineRule="exact"/>
              <w:ind w:firstLine="0" w:firstLineChars="0"/>
              <w:rPr>
                <w:rFonts w:ascii="仿宋_GB2312"/>
                <w:bCs/>
                <w:sz w:val="24"/>
                <w:szCs w:val="24"/>
              </w:rPr>
            </w:pPr>
            <w:r>
              <w:rPr>
                <w:rFonts w:hint="eastAsia" w:ascii="仿宋_GB2312"/>
                <w:sz w:val="24"/>
                <w:szCs w:val="24"/>
              </w:rPr>
              <w:t>□无</w:t>
            </w:r>
          </w:p>
        </w:tc>
        <w:tc>
          <w:tcPr>
            <w:tcW w:w="1326" w:type="dxa"/>
          </w:tcPr>
          <w:p>
            <w:pPr>
              <w:overflowPunct w:val="0"/>
              <w:spacing w:line="58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jc w:val="center"/>
        </w:trPr>
        <w:tc>
          <w:tcPr>
            <w:tcW w:w="8834" w:type="dxa"/>
            <w:gridSpan w:val="6"/>
            <w:tcBorders>
              <w:left w:val="single" w:color="000000" w:sz="4" w:space="0"/>
              <w:bottom w:val="single" w:color="000000" w:sz="4" w:space="0"/>
              <w:right w:val="single" w:color="000000" w:sz="4" w:space="0"/>
            </w:tcBorders>
            <w:vAlign w:val="center"/>
          </w:tcPr>
          <w:p>
            <w:pPr>
              <w:overflowPunct w:val="0"/>
              <w:spacing w:line="580" w:lineRule="exact"/>
              <w:ind w:firstLine="0" w:firstLineChars="0"/>
              <w:jc w:val="center"/>
              <w:rPr>
                <w:rFonts w:ascii="仿宋_GB2312" w:hAnsi="黑体"/>
                <w:bCs/>
                <w:sz w:val="28"/>
                <w:szCs w:val="28"/>
              </w:rPr>
            </w:pPr>
            <w:r>
              <w:rPr>
                <w:rFonts w:hint="eastAsia" w:ascii="仿宋_GB2312" w:hAnsi="黑体"/>
                <w:bCs/>
                <w:sz w:val="28"/>
                <w:szCs w:val="28"/>
              </w:rPr>
              <w:t>三、申请材料真实性承诺</w:t>
            </w:r>
          </w:p>
          <w:p>
            <w:pPr>
              <w:overflowPunct w:val="0"/>
              <w:spacing w:line="580" w:lineRule="exact"/>
              <w:ind w:firstLine="0" w:firstLineChars="0"/>
              <w:jc w:val="center"/>
              <w:rPr>
                <w:rFonts w:ascii="仿宋_GB2312" w:hAnsi="黑体"/>
                <w:bCs/>
                <w:sz w:val="28"/>
                <w:szCs w:val="28"/>
              </w:rPr>
            </w:pPr>
          </w:p>
          <w:p>
            <w:pPr>
              <w:overflowPunct w:val="0"/>
              <w:spacing w:line="240" w:lineRule="auto"/>
              <w:ind w:firstLine="0" w:firstLineChars="0"/>
              <w:jc w:val="left"/>
              <w:rPr>
                <w:rFonts w:ascii="仿宋_GB2312"/>
                <w:sz w:val="24"/>
                <w:szCs w:val="24"/>
              </w:rPr>
            </w:pPr>
            <w:r>
              <w:rPr>
                <w:rFonts w:hint="eastAsia" w:ascii="仿宋_GB2312"/>
                <w:sz w:val="24"/>
                <w:szCs w:val="24"/>
              </w:rPr>
              <w:t>1、本申请遵守国家相关法律、法规和规章的规定。</w:t>
            </w:r>
          </w:p>
          <w:p>
            <w:pPr>
              <w:overflowPunct w:val="0"/>
              <w:spacing w:line="240" w:lineRule="auto"/>
              <w:ind w:firstLine="0" w:firstLineChars="0"/>
              <w:jc w:val="left"/>
              <w:rPr>
                <w:rFonts w:ascii="仿宋_GB2312"/>
                <w:sz w:val="24"/>
                <w:szCs w:val="24"/>
              </w:rPr>
            </w:pPr>
            <w:r>
              <w:rPr>
                <w:rFonts w:hint="eastAsia" w:ascii="仿宋_GB2312"/>
                <w:sz w:val="24"/>
                <w:szCs w:val="24"/>
              </w:rPr>
              <w:t>2、</w:t>
            </w:r>
            <w:r>
              <w:rPr>
                <w:rFonts w:hint="eastAsia" w:ascii="仿宋_GB2312"/>
                <w:sz w:val="24"/>
                <w:szCs w:val="24"/>
                <w:lang w:eastAsia="zh-CN"/>
              </w:rPr>
              <w:t>本自查表及所提交的申报资料均真实、来源合法、译文准确。申请人对研究数据和结论的真实性、可靠性</w:t>
            </w:r>
            <w:bookmarkStart w:id="15" w:name="_GoBack"/>
            <w:bookmarkEnd w:id="15"/>
            <w:r>
              <w:rPr>
                <w:rFonts w:hint="eastAsia" w:ascii="仿宋_GB2312"/>
                <w:sz w:val="24"/>
                <w:szCs w:val="24"/>
                <w:lang w:eastAsia="zh-CN"/>
              </w:rPr>
              <w:t>负责。</w:t>
            </w:r>
          </w:p>
          <w:p>
            <w:pPr>
              <w:overflowPunct w:val="0"/>
              <w:spacing w:line="240" w:lineRule="auto"/>
              <w:ind w:firstLine="0" w:firstLineChars="0"/>
              <w:jc w:val="left"/>
              <w:rPr>
                <w:rFonts w:ascii="仿宋_GB2312"/>
                <w:sz w:val="24"/>
                <w:szCs w:val="24"/>
              </w:rPr>
            </w:pPr>
            <w:r>
              <w:rPr>
                <w:rFonts w:hint="eastAsia" w:ascii="仿宋_GB2312"/>
                <w:sz w:val="24"/>
                <w:szCs w:val="24"/>
              </w:rPr>
              <w:t>3、所提交的申报资料与目录内容完全一致。</w:t>
            </w:r>
          </w:p>
          <w:p>
            <w:pPr>
              <w:overflowPunct w:val="0"/>
              <w:spacing w:line="240" w:lineRule="auto"/>
              <w:ind w:firstLine="0" w:firstLineChars="0"/>
              <w:jc w:val="left"/>
              <w:rPr>
                <w:rFonts w:ascii="仿宋_GB2312"/>
                <w:sz w:val="24"/>
                <w:szCs w:val="24"/>
              </w:rPr>
            </w:pPr>
            <w:r>
              <w:rPr>
                <w:rFonts w:hint="eastAsia" w:ascii="仿宋_GB2312"/>
                <w:sz w:val="24"/>
                <w:szCs w:val="24"/>
              </w:rPr>
              <w:t>4、所提交的复印件与原件内容完全一致。</w:t>
            </w:r>
          </w:p>
          <w:p>
            <w:pPr>
              <w:overflowPunct w:val="0"/>
              <w:spacing w:line="240" w:lineRule="auto"/>
              <w:ind w:firstLine="0" w:firstLineChars="0"/>
              <w:jc w:val="left"/>
              <w:rPr>
                <w:rFonts w:ascii="仿宋_GB2312"/>
                <w:sz w:val="24"/>
                <w:szCs w:val="24"/>
              </w:rPr>
            </w:pPr>
            <w:r>
              <w:rPr>
                <w:rFonts w:hint="eastAsia" w:ascii="仿宋_GB2312"/>
                <w:sz w:val="24"/>
                <w:szCs w:val="24"/>
              </w:rPr>
              <w:t>5、所提交的电子文件与打印文件内容完全一致。</w:t>
            </w:r>
          </w:p>
          <w:p>
            <w:pPr>
              <w:overflowPunct w:val="0"/>
              <w:spacing w:line="240" w:lineRule="auto"/>
              <w:ind w:firstLine="0" w:firstLineChars="0"/>
              <w:jc w:val="left"/>
              <w:rPr>
                <w:rFonts w:ascii="仿宋_GB2312"/>
                <w:sz w:val="24"/>
                <w:szCs w:val="24"/>
              </w:rPr>
            </w:pPr>
            <w:r>
              <w:rPr>
                <w:rFonts w:hint="eastAsia" w:ascii="仿宋_GB2312"/>
                <w:sz w:val="24"/>
                <w:szCs w:val="24"/>
              </w:rPr>
              <w:t>6、保证按要求在国家局药品审评中心网站及时上传相关电子资料。</w:t>
            </w:r>
          </w:p>
          <w:p>
            <w:pPr>
              <w:overflowPunct w:val="0"/>
              <w:spacing w:line="240" w:lineRule="auto"/>
              <w:ind w:firstLine="0" w:firstLineChars="0"/>
              <w:jc w:val="left"/>
              <w:rPr>
                <w:rFonts w:ascii="仿宋_GB2312"/>
                <w:sz w:val="24"/>
                <w:szCs w:val="24"/>
              </w:rPr>
            </w:pPr>
            <w:r>
              <w:rPr>
                <w:rFonts w:hint="eastAsia" w:ascii="仿宋_GB2312"/>
                <w:sz w:val="24"/>
                <w:szCs w:val="24"/>
              </w:rPr>
              <w:t>7、如有虚假，申请人本单位愿意承担相应法律责任。</w:t>
            </w:r>
          </w:p>
          <w:p>
            <w:pPr>
              <w:overflowPunct w:val="0"/>
              <w:spacing w:line="240" w:lineRule="auto"/>
              <w:ind w:firstLine="0" w:firstLineChars="0"/>
              <w:jc w:val="left"/>
              <w:rPr>
                <w:rFonts w:ascii="仿宋_GB2312"/>
                <w:sz w:val="24"/>
                <w:szCs w:val="24"/>
              </w:rPr>
            </w:pPr>
          </w:p>
          <w:p>
            <w:pPr>
              <w:overflowPunct w:val="0"/>
              <w:spacing w:line="580" w:lineRule="exact"/>
              <w:ind w:firstLine="0" w:firstLineChars="0"/>
              <w:jc w:val="right"/>
              <w:rPr>
                <w:rFonts w:ascii="仿宋_GB2312"/>
                <w:bCs/>
                <w:sz w:val="24"/>
                <w:szCs w:val="24"/>
              </w:rPr>
            </w:pPr>
            <w:r>
              <w:rPr>
                <w:rFonts w:hint="eastAsia" w:ascii="仿宋_GB2312"/>
                <w:bCs/>
                <w:sz w:val="24"/>
                <w:szCs w:val="24"/>
              </w:rPr>
              <w:t>申请人（签字并加盖公章）</w:t>
            </w:r>
          </w:p>
          <w:p>
            <w:pPr>
              <w:overflowPunct w:val="0"/>
              <w:spacing w:line="580" w:lineRule="exact"/>
              <w:ind w:right="240" w:firstLine="0" w:firstLineChars="0"/>
              <w:jc w:val="right"/>
              <w:rPr>
                <w:rFonts w:ascii="仿宋_GB2312"/>
                <w:bCs/>
                <w:sz w:val="24"/>
                <w:szCs w:val="24"/>
              </w:rPr>
            </w:pPr>
          </w:p>
          <w:p>
            <w:pPr>
              <w:overflowPunct w:val="0"/>
              <w:spacing w:line="580" w:lineRule="exact"/>
              <w:ind w:firstLine="0" w:firstLineChars="0"/>
              <w:jc w:val="right"/>
              <w:rPr>
                <w:rFonts w:ascii="仿宋_GB2312"/>
                <w:sz w:val="24"/>
                <w:szCs w:val="24"/>
              </w:rPr>
            </w:pPr>
            <w:r>
              <w:rPr>
                <w:rFonts w:hint="eastAsia" w:ascii="仿宋_GB2312"/>
                <w:bCs/>
                <w:sz w:val="24"/>
                <w:szCs w:val="24"/>
              </w:rPr>
              <w:t xml:space="preserve">年    月    日        </w:t>
            </w:r>
          </w:p>
        </w:tc>
      </w:tr>
    </w:tbl>
    <w:p>
      <w:pPr>
        <w:overflowPunct w:val="0"/>
        <w:spacing w:line="560" w:lineRule="exact"/>
        <w:ind w:firstLine="0" w:firstLineChars="0"/>
        <w:rPr>
          <w:rFonts w:eastAsia="黑体"/>
          <w:u w:color="000000"/>
        </w:rPr>
      </w:pPr>
      <w:r>
        <w:rPr>
          <w:rFonts w:hint="eastAsia" w:eastAsia="黑体"/>
          <w:u w:color="000000"/>
        </w:rPr>
        <w:t>附</w:t>
      </w:r>
      <w:r>
        <w:rPr>
          <w:rFonts w:eastAsia="黑体"/>
          <w:u w:color="000000"/>
        </w:rPr>
        <w:t>2</w:t>
      </w:r>
    </w:p>
    <w:p>
      <w:pPr>
        <w:overflowPunct w:val="0"/>
        <w:spacing w:line="580" w:lineRule="exact"/>
        <w:ind w:firstLine="0" w:firstLineChars="0"/>
        <w:jc w:val="center"/>
        <w:rPr>
          <w:rFonts w:ascii="方正小标宋简体" w:hAnsi="方正小标宋简体" w:eastAsia="方正小标宋简体" w:cs="方正小标宋简体"/>
          <w:color w:val="000000"/>
          <w:sz w:val="44"/>
          <w:szCs w:val="44"/>
          <w:u w:color="000000"/>
        </w:rPr>
      </w:pPr>
      <w:r>
        <w:rPr>
          <w:rFonts w:hint="eastAsia" w:ascii="方正小标宋简体" w:hAnsi="方正小标宋简体" w:eastAsia="方正小标宋简体" w:cs="方正小标宋简体"/>
          <w:color w:val="000000"/>
          <w:sz w:val="44"/>
          <w:szCs w:val="44"/>
          <w:u w:color="000000"/>
        </w:rPr>
        <w:t>参考目录</w:t>
      </w:r>
    </w:p>
    <w:p>
      <w:pPr>
        <w:overflowPunct w:val="0"/>
        <w:spacing w:line="580" w:lineRule="exact"/>
        <w:ind w:firstLine="0" w:firstLineChars="0"/>
        <w:rPr>
          <w:u w:color="000000"/>
        </w:rPr>
      </w:pPr>
      <w:r>
        <w:rPr>
          <w:u w:color="000000"/>
        </w:rPr>
        <w:t>1</w:t>
      </w:r>
      <w:r>
        <w:rPr>
          <w:rFonts w:hint="eastAsia"/>
          <w:u w:color="000000"/>
        </w:rPr>
        <w:t>．《药品注册管理办法》（总局令</w:t>
      </w:r>
      <w:r>
        <w:rPr>
          <w:u w:color="000000"/>
        </w:rPr>
        <w:t>27</w:t>
      </w:r>
      <w:r>
        <w:rPr>
          <w:rFonts w:hint="eastAsia"/>
          <w:u w:color="000000"/>
        </w:rPr>
        <w:t>号）</w:t>
      </w:r>
    </w:p>
    <w:p>
      <w:pPr>
        <w:overflowPunct w:val="0"/>
        <w:spacing w:line="580" w:lineRule="exact"/>
        <w:ind w:firstLine="0" w:firstLineChars="0"/>
        <w:rPr>
          <w:u w:color="000000"/>
        </w:rPr>
      </w:pPr>
      <w:r>
        <w:rPr>
          <w:u w:color="000000"/>
        </w:rPr>
        <w:t>2</w:t>
      </w:r>
      <w:r>
        <w:rPr>
          <w:rFonts w:hint="eastAsia"/>
          <w:u w:color="000000"/>
        </w:rPr>
        <w:t>．</w:t>
      </w:r>
      <w:r>
        <w:rPr>
          <w:rFonts w:hint="eastAsia"/>
        </w:rPr>
        <w:t>《生物制品注册分类及申报</w:t>
      </w:r>
      <w:r>
        <w:t>资料要求</w:t>
      </w:r>
      <w:r>
        <w:rPr>
          <w:rFonts w:hint="eastAsia"/>
        </w:rPr>
        <w:t>》</w:t>
      </w:r>
    </w:p>
    <w:p>
      <w:pPr>
        <w:overflowPunct w:val="0"/>
        <w:spacing w:line="580" w:lineRule="exact"/>
        <w:ind w:firstLine="0" w:firstLineChars="0"/>
        <w:rPr>
          <w:u w:color="000000"/>
        </w:rPr>
      </w:pPr>
      <w:r>
        <w:rPr>
          <w:u w:color="000000"/>
        </w:rPr>
        <w:t>3</w:t>
      </w:r>
      <w:r>
        <w:rPr>
          <w:rFonts w:hint="eastAsia"/>
          <w:u w:color="000000"/>
        </w:rPr>
        <w:t>．《关于药械组合产品注册有关事宜的通告》（</w:t>
      </w:r>
      <w:r>
        <w:rPr>
          <w:u w:color="000000"/>
        </w:rPr>
        <w:t>2019</w:t>
      </w:r>
      <w:r>
        <w:rPr>
          <w:rFonts w:hint="eastAsia"/>
          <w:u w:color="000000"/>
        </w:rPr>
        <w:t>年第</w:t>
      </w:r>
      <w:r>
        <w:rPr>
          <w:u w:color="000000"/>
        </w:rPr>
        <w:t>16</w:t>
      </w:r>
      <w:r>
        <w:rPr>
          <w:rFonts w:hint="eastAsia"/>
          <w:u w:color="000000"/>
        </w:rPr>
        <w:t>号）</w:t>
      </w:r>
    </w:p>
    <w:p>
      <w:pPr>
        <w:overflowPunct w:val="0"/>
        <w:spacing w:line="580" w:lineRule="exact"/>
        <w:ind w:firstLine="0" w:firstLineChars="0"/>
        <w:rPr>
          <w:u w:color="000000"/>
        </w:rPr>
      </w:pPr>
      <w:r>
        <w:rPr>
          <w:u w:color="000000"/>
        </w:rPr>
        <w:t>4</w:t>
      </w:r>
      <w:r>
        <w:rPr>
          <w:rFonts w:hint="eastAsia"/>
          <w:u w:color="000000"/>
        </w:rPr>
        <w:t>．《关于取消</w:t>
      </w:r>
      <w:r>
        <w:rPr>
          <w:u w:color="000000"/>
        </w:rPr>
        <w:t>36</w:t>
      </w:r>
      <w:r>
        <w:rPr>
          <w:rFonts w:hint="eastAsia"/>
          <w:u w:color="000000"/>
        </w:rPr>
        <w:t>项证明事项的公告》（</w:t>
      </w:r>
      <w:r>
        <w:rPr>
          <w:u w:color="000000"/>
        </w:rPr>
        <w:t>2019</w:t>
      </w:r>
      <w:r>
        <w:rPr>
          <w:rFonts w:hint="eastAsia"/>
          <w:u w:color="000000"/>
        </w:rPr>
        <w:t>年第</w:t>
      </w:r>
      <w:r>
        <w:rPr>
          <w:u w:color="000000"/>
        </w:rPr>
        <w:t>34</w:t>
      </w:r>
      <w:r>
        <w:rPr>
          <w:rFonts w:hint="eastAsia"/>
          <w:u w:color="000000"/>
        </w:rPr>
        <w:t>号）</w:t>
      </w:r>
    </w:p>
    <w:p>
      <w:pPr>
        <w:overflowPunct w:val="0"/>
        <w:spacing w:line="580" w:lineRule="exact"/>
        <w:ind w:firstLine="0" w:firstLineChars="0"/>
        <w:rPr>
          <w:u w:color="000000"/>
        </w:rPr>
      </w:pPr>
      <w:r>
        <w:rPr>
          <w:u w:color="000000"/>
        </w:rPr>
        <w:t>5</w:t>
      </w:r>
      <w:r>
        <w:rPr>
          <w:rFonts w:hint="eastAsia"/>
          <w:u w:color="000000"/>
        </w:rPr>
        <w:t>．《关于取消</w:t>
      </w:r>
      <w:r>
        <w:rPr>
          <w:u w:color="000000"/>
        </w:rPr>
        <w:t>16</w:t>
      </w:r>
      <w:r>
        <w:rPr>
          <w:rFonts w:hint="eastAsia"/>
          <w:u w:color="000000"/>
        </w:rPr>
        <w:t>项证明事项的公告（第二批）》（</w:t>
      </w:r>
      <w:r>
        <w:rPr>
          <w:u w:color="000000"/>
        </w:rPr>
        <w:t>2019</w:t>
      </w:r>
      <w:r>
        <w:rPr>
          <w:rFonts w:hint="eastAsia"/>
          <w:u w:color="000000"/>
        </w:rPr>
        <w:t>年第</w:t>
      </w:r>
      <w:r>
        <w:rPr>
          <w:u w:color="000000"/>
        </w:rPr>
        <w:t>55</w:t>
      </w:r>
      <w:r>
        <w:rPr>
          <w:rFonts w:hint="eastAsia"/>
          <w:u w:color="000000"/>
        </w:rPr>
        <w:t>号）</w:t>
      </w:r>
    </w:p>
    <w:p>
      <w:pPr>
        <w:overflowPunct w:val="0"/>
        <w:spacing w:line="580" w:lineRule="exact"/>
        <w:ind w:firstLine="0" w:firstLineChars="0"/>
        <w:rPr>
          <w:u w:color="000000"/>
        </w:rPr>
      </w:pPr>
      <w:r>
        <w:rPr>
          <w:u w:color="000000"/>
        </w:rPr>
        <w:t>6</w:t>
      </w:r>
      <w:r>
        <w:rPr>
          <w:rFonts w:hint="eastAsia"/>
          <w:u w:color="000000"/>
        </w:rPr>
        <w:t>．《关于取消</w:t>
      </w:r>
      <w:r>
        <w:rPr>
          <w:u w:color="000000"/>
        </w:rPr>
        <w:t>68</w:t>
      </w:r>
      <w:r>
        <w:rPr>
          <w:rFonts w:hint="eastAsia"/>
          <w:u w:color="000000"/>
        </w:rPr>
        <w:t>项证明事项的公告（第三批）》</w:t>
      </w:r>
      <w:r>
        <w:rPr>
          <w:u w:color="000000"/>
        </w:rPr>
        <w:t>(2019</w:t>
      </w:r>
      <w:r>
        <w:rPr>
          <w:rFonts w:hint="eastAsia"/>
          <w:u w:color="000000"/>
        </w:rPr>
        <w:t>年第</w:t>
      </w:r>
      <w:r>
        <w:rPr>
          <w:u w:color="000000"/>
        </w:rPr>
        <w:t>102</w:t>
      </w:r>
      <w:r>
        <w:rPr>
          <w:rFonts w:hint="eastAsia"/>
          <w:u w:color="000000"/>
        </w:rPr>
        <w:t>号</w:t>
      </w:r>
      <w:r>
        <w:rPr>
          <w:u w:color="000000"/>
        </w:rPr>
        <w:t>)</w:t>
      </w:r>
    </w:p>
    <w:p>
      <w:pPr>
        <w:overflowPunct w:val="0"/>
        <w:spacing w:line="580" w:lineRule="exact"/>
        <w:ind w:firstLine="0" w:firstLineChars="0"/>
        <w:rPr>
          <w:sz w:val="24"/>
          <w:szCs w:val="24"/>
        </w:rPr>
      </w:pPr>
    </w:p>
    <w:sectPr>
      <w:footerReference r:id="rId9" w:type="default"/>
      <w:pgSz w:w="11906" w:h="16838"/>
      <w:pgMar w:top="1928" w:right="1531" w:bottom="1814" w:left="1531" w:header="851" w:footer="1247"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240" w:lineRule="auto"/>
      <w:ind w:firstLine="0" w:firstLineChars="0"/>
      <w:rPr>
        <w:sz w:val="28"/>
        <w:szCs w:val="28"/>
      </w:rPr>
    </w:pPr>
    <w:r>
      <w:rPr>
        <w:color w:val="FFFFFF"/>
        <w:sz w:val="28"/>
        <w:szCs w:val="28"/>
      </w:rPr>
      <w:t>—</w:t>
    </w:r>
  </w:p>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rPr>
        <w:lang w:val="zh-CN"/>
      </w:rPr>
    </w:pPr>
    <w:r>
      <w:rPr>
        <w:lang w:val="zh-CN"/>
      </w:rPr>
      <w:fldChar w:fldCharType="begin"/>
    </w:r>
    <w:r>
      <w:rPr>
        <w:lang w:val="zh-CN"/>
      </w:rPr>
      <w:instrText xml:space="preserve">PAGE   \* MERGEFORMAT</w:instrText>
    </w:r>
    <w:r>
      <w:rPr>
        <w:lang w:val="zh-CN"/>
      </w:rPr>
      <w:fldChar w:fldCharType="separate"/>
    </w:r>
    <w:r>
      <w:rPr>
        <w:lang w:val="zh-CN"/>
      </w:rPr>
      <w:t>12</w:t>
    </w:r>
    <w:r>
      <w:rPr>
        <w:lang w:val="zh-CN"/>
      </w:rPr>
      <w:fldChar w:fldCharType="end"/>
    </w:r>
  </w:p>
  <w:p>
    <w:pPr>
      <w:pStyle w:val="13"/>
      <w:ind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D2BA9"/>
    <w:multiLevelType w:val="singleLevel"/>
    <w:tmpl w:val="206D2BA9"/>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B6"/>
    <w:rsid w:val="000054B4"/>
    <w:rsid w:val="000121FB"/>
    <w:rsid w:val="00015165"/>
    <w:rsid w:val="00015C1C"/>
    <w:rsid w:val="00022896"/>
    <w:rsid w:val="0002577C"/>
    <w:rsid w:val="00027E16"/>
    <w:rsid w:val="00033185"/>
    <w:rsid w:val="00033410"/>
    <w:rsid w:val="00035792"/>
    <w:rsid w:val="00036588"/>
    <w:rsid w:val="00041489"/>
    <w:rsid w:val="00044408"/>
    <w:rsid w:val="00045FB1"/>
    <w:rsid w:val="000465DF"/>
    <w:rsid w:val="00047440"/>
    <w:rsid w:val="00050F31"/>
    <w:rsid w:val="00051839"/>
    <w:rsid w:val="0005412A"/>
    <w:rsid w:val="00054BC2"/>
    <w:rsid w:val="000702BD"/>
    <w:rsid w:val="00072900"/>
    <w:rsid w:val="0007608F"/>
    <w:rsid w:val="000856AA"/>
    <w:rsid w:val="000919A0"/>
    <w:rsid w:val="000938E2"/>
    <w:rsid w:val="00094A96"/>
    <w:rsid w:val="0009555B"/>
    <w:rsid w:val="000966CF"/>
    <w:rsid w:val="000A1C8C"/>
    <w:rsid w:val="000A21EC"/>
    <w:rsid w:val="000A56B1"/>
    <w:rsid w:val="000B090D"/>
    <w:rsid w:val="000B697C"/>
    <w:rsid w:val="000B69C0"/>
    <w:rsid w:val="000B7E50"/>
    <w:rsid w:val="000C1DEE"/>
    <w:rsid w:val="000C4E05"/>
    <w:rsid w:val="000C5ED4"/>
    <w:rsid w:val="000D0771"/>
    <w:rsid w:val="000D49E4"/>
    <w:rsid w:val="000D7D9E"/>
    <w:rsid w:val="000E1291"/>
    <w:rsid w:val="000E4B20"/>
    <w:rsid w:val="000E58A4"/>
    <w:rsid w:val="000E6E45"/>
    <w:rsid w:val="000F18B5"/>
    <w:rsid w:val="000F3AB5"/>
    <w:rsid w:val="001016B0"/>
    <w:rsid w:val="001018C0"/>
    <w:rsid w:val="001062D1"/>
    <w:rsid w:val="00106A7B"/>
    <w:rsid w:val="00111070"/>
    <w:rsid w:val="00112345"/>
    <w:rsid w:val="001141D0"/>
    <w:rsid w:val="0012020D"/>
    <w:rsid w:val="0012104E"/>
    <w:rsid w:val="001229EA"/>
    <w:rsid w:val="00124F71"/>
    <w:rsid w:val="00130FCA"/>
    <w:rsid w:val="001405F9"/>
    <w:rsid w:val="001428EB"/>
    <w:rsid w:val="00146882"/>
    <w:rsid w:val="00147181"/>
    <w:rsid w:val="001500DD"/>
    <w:rsid w:val="001539E5"/>
    <w:rsid w:val="00153E12"/>
    <w:rsid w:val="00157CF6"/>
    <w:rsid w:val="0016525F"/>
    <w:rsid w:val="0016559C"/>
    <w:rsid w:val="00165BD8"/>
    <w:rsid w:val="001660C7"/>
    <w:rsid w:val="001670BA"/>
    <w:rsid w:val="00173DA5"/>
    <w:rsid w:val="00174644"/>
    <w:rsid w:val="00174C46"/>
    <w:rsid w:val="00176BEC"/>
    <w:rsid w:val="001829BD"/>
    <w:rsid w:val="00182DEC"/>
    <w:rsid w:val="00183974"/>
    <w:rsid w:val="00184321"/>
    <w:rsid w:val="00185210"/>
    <w:rsid w:val="00185EB5"/>
    <w:rsid w:val="0019129B"/>
    <w:rsid w:val="0019523E"/>
    <w:rsid w:val="001A0644"/>
    <w:rsid w:val="001A0AA8"/>
    <w:rsid w:val="001A1738"/>
    <w:rsid w:val="001A1919"/>
    <w:rsid w:val="001A2767"/>
    <w:rsid w:val="001A36C8"/>
    <w:rsid w:val="001A4723"/>
    <w:rsid w:val="001A47C2"/>
    <w:rsid w:val="001A603E"/>
    <w:rsid w:val="001A6E2F"/>
    <w:rsid w:val="001B16AB"/>
    <w:rsid w:val="001B3E99"/>
    <w:rsid w:val="001B45DF"/>
    <w:rsid w:val="001B74C9"/>
    <w:rsid w:val="001C26B4"/>
    <w:rsid w:val="001C34E0"/>
    <w:rsid w:val="001C5DE7"/>
    <w:rsid w:val="001D019A"/>
    <w:rsid w:val="001D2AA8"/>
    <w:rsid w:val="001D3B93"/>
    <w:rsid w:val="001D4699"/>
    <w:rsid w:val="001D4CE8"/>
    <w:rsid w:val="001D539D"/>
    <w:rsid w:val="001F02EA"/>
    <w:rsid w:val="001F5FC1"/>
    <w:rsid w:val="00201503"/>
    <w:rsid w:val="00203D3C"/>
    <w:rsid w:val="002057A0"/>
    <w:rsid w:val="00205C3E"/>
    <w:rsid w:val="0021040B"/>
    <w:rsid w:val="002130C5"/>
    <w:rsid w:val="00215DE6"/>
    <w:rsid w:val="0021791F"/>
    <w:rsid w:val="0022216D"/>
    <w:rsid w:val="00222382"/>
    <w:rsid w:val="002228DD"/>
    <w:rsid w:val="00230DAD"/>
    <w:rsid w:val="002323B9"/>
    <w:rsid w:val="00233A8C"/>
    <w:rsid w:val="002349E8"/>
    <w:rsid w:val="002361DB"/>
    <w:rsid w:val="002406C5"/>
    <w:rsid w:val="00240963"/>
    <w:rsid w:val="002414B3"/>
    <w:rsid w:val="002428AB"/>
    <w:rsid w:val="0024366C"/>
    <w:rsid w:val="00244002"/>
    <w:rsid w:val="00244AB0"/>
    <w:rsid w:val="0024741B"/>
    <w:rsid w:val="00251ED4"/>
    <w:rsid w:val="00255906"/>
    <w:rsid w:val="0025699B"/>
    <w:rsid w:val="002617E0"/>
    <w:rsid w:val="002676BA"/>
    <w:rsid w:val="0027096C"/>
    <w:rsid w:val="002726E8"/>
    <w:rsid w:val="00274F5D"/>
    <w:rsid w:val="00275B5E"/>
    <w:rsid w:val="00281AD2"/>
    <w:rsid w:val="00290D8E"/>
    <w:rsid w:val="002919B9"/>
    <w:rsid w:val="00292411"/>
    <w:rsid w:val="00295DC3"/>
    <w:rsid w:val="002A17E5"/>
    <w:rsid w:val="002A20FB"/>
    <w:rsid w:val="002A2222"/>
    <w:rsid w:val="002A2326"/>
    <w:rsid w:val="002A25E1"/>
    <w:rsid w:val="002A4665"/>
    <w:rsid w:val="002A5878"/>
    <w:rsid w:val="002B48AF"/>
    <w:rsid w:val="002C1593"/>
    <w:rsid w:val="002C1644"/>
    <w:rsid w:val="002C2075"/>
    <w:rsid w:val="002C2960"/>
    <w:rsid w:val="002C6BDA"/>
    <w:rsid w:val="002D0585"/>
    <w:rsid w:val="002D08B5"/>
    <w:rsid w:val="002D193E"/>
    <w:rsid w:val="002D3684"/>
    <w:rsid w:val="002D5905"/>
    <w:rsid w:val="002D60B7"/>
    <w:rsid w:val="002E2C4A"/>
    <w:rsid w:val="002E445E"/>
    <w:rsid w:val="002F12CC"/>
    <w:rsid w:val="002F5168"/>
    <w:rsid w:val="003008B4"/>
    <w:rsid w:val="00301373"/>
    <w:rsid w:val="00302210"/>
    <w:rsid w:val="00303222"/>
    <w:rsid w:val="00303377"/>
    <w:rsid w:val="003050CA"/>
    <w:rsid w:val="00305C9F"/>
    <w:rsid w:val="00305CF5"/>
    <w:rsid w:val="0030641C"/>
    <w:rsid w:val="00312370"/>
    <w:rsid w:val="00314796"/>
    <w:rsid w:val="00316E67"/>
    <w:rsid w:val="00322056"/>
    <w:rsid w:val="00333906"/>
    <w:rsid w:val="003342BB"/>
    <w:rsid w:val="00336BE5"/>
    <w:rsid w:val="00336D1F"/>
    <w:rsid w:val="00344B0D"/>
    <w:rsid w:val="00346F5C"/>
    <w:rsid w:val="00347BA7"/>
    <w:rsid w:val="00352080"/>
    <w:rsid w:val="00355EE9"/>
    <w:rsid w:val="00355F85"/>
    <w:rsid w:val="00355FAD"/>
    <w:rsid w:val="0035607A"/>
    <w:rsid w:val="003577D5"/>
    <w:rsid w:val="003602B5"/>
    <w:rsid w:val="00363036"/>
    <w:rsid w:val="003647DA"/>
    <w:rsid w:val="00367650"/>
    <w:rsid w:val="003717BC"/>
    <w:rsid w:val="00371DFB"/>
    <w:rsid w:val="00372407"/>
    <w:rsid w:val="00374E03"/>
    <w:rsid w:val="00376276"/>
    <w:rsid w:val="00376C9C"/>
    <w:rsid w:val="003773BA"/>
    <w:rsid w:val="003907D9"/>
    <w:rsid w:val="00392328"/>
    <w:rsid w:val="00394191"/>
    <w:rsid w:val="00395096"/>
    <w:rsid w:val="00395906"/>
    <w:rsid w:val="003A0924"/>
    <w:rsid w:val="003A0F8B"/>
    <w:rsid w:val="003A2E37"/>
    <w:rsid w:val="003A475F"/>
    <w:rsid w:val="003A5502"/>
    <w:rsid w:val="003B08AB"/>
    <w:rsid w:val="003B3307"/>
    <w:rsid w:val="003B3BC7"/>
    <w:rsid w:val="003B4CE9"/>
    <w:rsid w:val="003B5A02"/>
    <w:rsid w:val="003B6CF4"/>
    <w:rsid w:val="003C1938"/>
    <w:rsid w:val="003C374B"/>
    <w:rsid w:val="003C5C09"/>
    <w:rsid w:val="003D0862"/>
    <w:rsid w:val="003D1814"/>
    <w:rsid w:val="003D3864"/>
    <w:rsid w:val="003D426F"/>
    <w:rsid w:val="003D4B74"/>
    <w:rsid w:val="003E11D0"/>
    <w:rsid w:val="003E1D24"/>
    <w:rsid w:val="003E5822"/>
    <w:rsid w:val="003E6717"/>
    <w:rsid w:val="003F48F4"/>
    <w:rsid w:val="00400249"/>
    <w:rsid w:val="00401772"/>
    <w:rsid w:val="00402895"/>
    <w:rsid w:val="00402E4F"/>
    <w:rsid w:val="0040301B"/>
    <w:rsid w:val="00406248"/>
    <w:rsid w:val="0040665F"/>
    <w:rsid w:val="004066D1"/>
    <w:rsid w:val="00407BA9"/>
    <w:rsid w:val="00410DA4"/>
    <w:rsid w:val="0041282B"/>
    <w:rsid w:val="00415AE1"/>
    <w:rsid w:val="00420271"/>
    <w:rsid w:val="00430B88"/>
    <w:rsid w:val="00434269"/>
    <w:rsid w:val="00434C80"/>
    <w:rsid w:val="0043666A"/>
    <w:rsid w:val="00436C92"/>
    <w:rsid w:val="00437831"/>
    <w:rsid w:val="004417BE"/>
    <w:rsid w:val="00444630"/>
    <w:rsid w:val="00447D58"/>
    <w:rsid w:val="00450DF9"/>
    <w:rsid w:val="0045381E"/>
    <w:rsid w:val="00455EE5"/>
    <w:rsid w:val="0046259B"/>
    <w:rsid w:val="00463EE5"/>
    <w:rsid w:val="00464799"/>
    <w:rsid w:val="004650C8"/>
    <w:rsid w:val="004675C5"/>
    <w:rsid w:val="00474469"/>
    <w:rsid w:val="00476A8C"/>
    <w:rsid w:val="00477DD3"/>
    <w:rsid w:val="00477E81"/>
    <w:rsid w:val="00482239"/>
    <w:rsid w:val="004830F5"/>
    <w:rsid w:val="00490300"/>
    <w:rsid w:val="00492A79"/>
    <w:rsid w:val="00494320"/>
    <w:rsid w:val="004A4FF1"/>
    <w:rsid w:val="004A5886"/>
    <w:rsid w:val="004B7C47"/>
    <w:rsid w:val="004C0A59"/>
    <w:rsid w:val="004C4545"/>
    <w:rsid w:val="004C6B97"/>
    <w:rsid w:val="004C72CE"/>
    <w:rsid w:val="004C771F"/>
    <w:rsid w:val="004D0550"/>
    <w:rsid w:val="004D181C"/>
    <w:rsid w:val="004D21CC"/>
    <w:rsid w:val="004D4135"/>
    <w:rsid w:val="004D467F"/>
    <w:rsid w:val="004E3277"/>
    <w:rsid w:val="004E3E28"/>
    <w:rsid w:val="004E6452"/>
    <w:rsid w:val="004F207A"/>
    <w:rsid w:val="004F20F5"/>
    <w:rsid w:val="004F43ED"/>
    <w:rsid w:val="004F4493"/>
    <w:rsid w:val="004F5BB0"/>
    <w:rsid w:val="004F61E3"/>
    <w:rsid w:val="00500B58"/>
    <w:rsid w:val="00500EB7"/>
    <w:rsid w:val="00511457"/>
    <w:rsid w:val="005125BD"/>
    <w:rsid w:val="005132C3"/>
    <w:rsid w:val="00513F9D"/>
    <w:rsid w:val="00514105"/>
    <w:rsid w:val="005175FA"/>
    <w:rsid w:val="00521C36"/>
    <w:rsid w:val="00523C07"/>
    <w:rsid w:val="005257BA"/>
    <w:rsid w:val="00525BF2"/>
    <w:rsid w:val="005261AC"/>
    <w:rsid w:val="00526F07"/>
    <w:rsid w:val="0053147A"/>
    <w:rsid w:val="0053380E"/>
    <w:rsid w:val="0053497F"/>
    <w:rsid w:val="0054326A"/>
    <w:rsid w:val="00544E77"/>
    <w:rsid w:val="00546F65"/>
    <w:rsid w:val="0055186B"/>
    <w:rsid w:val="005542A3"/>
    <w:rsid w:val="00554B79"/>
    <w:rsid w:val="005602E5"/>
    <w:rsid w:val="00562048"/>
    <w:rsid w:val="00562A1E"/>
    <w:rsid w:val="00562CD9"/>
    <w:rsid w:val="005655E1"/>
    <w:rsid w:val="00575BB8"/>
    <w:rsid w:val="00576A7F"/>
    <w:rsid w:val="00580CCB"/>
    <w:rsid w:val="00581A2E"/>
    <w:rsid w:val="005830FF"/>
    <w:rsid w:val="005902C9"/>
    <w:rsid w:val="005921BD"/>
    <w:rsid w:val="00593D50"/>
    <w:rsid w:val="005949EC"/>
    <w:rsid w:val="00595C2E"/>
    <w:rsid w:val="005A0770"/>
    <w:rsid w:val="005A0BDA"/>
    <w:rsid w:val="005A3102"/>
    <w:rsid w:val="005A3C8C"/>
    <w:rsid w:val="005A6D3C"/>
    <w:rsid w:val="005A7606"/>
    <w:rsid w:val="005B2742"/>
    <w:rsid w:val="005B571E"/>
    <w:rsid w:val="005B6332"/>
    <w:rsid w:val="005C154B"/>
    <w:rsid w:val="005C1CD7"/>
    <w:rsid w:val="005C32D6"/>
    <w:rsid w:val="005C40F7"/>
    <w:rsid w:val="005C4900"/>
    <w:rsid w:val="005C4D66"/>
    <w:rsid w:val="005D1478"/>
    <w:rsid w:val="005D44FB"/>
    <w:rsid w:val="005E2806"/>
    <w:rsid w:val="005E7621"/>
    <w:rsid w:val="005F006B"/>
    <w:rsid w:val="005F1358"/>
    <w:rsid w:val="005F1EA7"/>
    <w:rsid w:val="005F6251"/>
    <w:rsid w:val="005F6543"/>
    <w:rsid w:val="00603267"/>
    <w:rsid w:val="006110DC"/>
    <w:rsid w:val="0061225A"/>
    <w:rsid w:val="00613182"/>
    <w:rsid w:val="00613752"/>
    <w:rsid w:val="00613D54"/>
    <w:rsid w:val="00617D4E"/>
    <w:rsid w:val="00620AB5"/>
    <w:rsid w:val="00630E76"/>
    <w:rsid w:val="006361D5"/>
    <w:rsid w:val="00641379"/>
    <w:rsid w:val="00643067"/>
    <w:rsid w:val="00644523"/>
    <w:rsid w:val="0064589E"/>
    <w:rsid w:val="006460F1"/>
    <w:rsid w:val="00647CDA"/>
    <w:rsid w:val="0065012E"/>
    <w:rsid w:val="00655149"/>
    <w:rsid w:val="00662638"/>
    <w:rsid w:val="00663332"/>
    <w:rsid w:val="00666AE0"/>
    <w:rsid w:val="00671527"/>
    <w:rsid w:val="00671858"/>
    <w:rsid w:val="006813E4"/>
    <w:rsid w:val="006814DC"/>
    <w:rsid w:val="00685006"/>
    <w:rsid w:val="006851AD"/>
    <w:rsid w:val="00687C78"/>
    <w:rsid w:val="00693420"/>
    <w:rsid w:val="006A23D1"/>
    <w:rsid w:val="006A2D69"/>
    <w:rsid w:val="006B055F"/>
    <w:rsid w:val="006B4511"/>
    <w:rsid w:val="006B72ED"/>
    <w:rsid w:val="006C2123"/>
    <w:rsid w:val="006C256D"/>
    <w:rsid w:val="006C4C28"/>
    <w:rsid w:val="006C6963"/>
    <w:rsid w:val="006C6A53"/>
    <w:rsid w:val="006D1CFD"/>
    <w:rsid w:val="006D29FB"/>
    <w:rsid w:val="006D3C6E"/>
    <w:rsid w:val="006D429A"/>
    <w:rsid w:val="006D55D2"/>
    <w:rsid w:val="006E0FD0"/>
    <w:rsid w:val="006E1C90"/>
    <w:rsid w:val="006E3105"/>
    <w:rsid w:val="006E43C5"/>
    <w:rsid w:val="006F5385"/>
    <w:rsid w:val="00700E54"/>
    <w:rsid w:val="007012D0"/>
    <w:rsid w:val="007025DB"/>
    <w:rsid w:val="00705DDC"/>
    <w:rsid w:val="0071229D"/>
    <w:rsid w:val="007123B4"/>
    <w:rsid w:val="007124EF"/>
    <w:rsid w:val="007128AB"/>
    <w:rsid w:val="007131A7"/>
    <w:rsid w:val="00720616"/>
    <w:rsid w:val="007210F1"/>
    <w:rsid w:val="00722EBA"/>
    <w:rsid w:val="00726688"/>
    <w:rsid w:val="007266FA"/>
    <w:rsid w:val="00732280"/>
    <w:rsid w:val="00734968"/>
    <w:rsid w:val="00734D7F"/>
    <w:rsid w:val="00735604"/>
    <w:rsid w:val="0074103B"/>
    <w:rsid w:val="007420B4"/>
    <w:rsid w:val="007431A5"/>
    <w:rsid w:val="007442F3"/>
    <w:rsid w:val="00744C84"/>
    <w:rsid w:val="007457B8"/>
    <w:rsid w:val="007459D0"/>
    <w:rsid w:val="007478C3"/>
    <w:rsid w:val="00747FE0"/>
    <w:rsid w:val="00751905"/>
    <w:rsid w:val="00756897"/>
    <w:rsid w:val="00761188"/>
    <w:rsid w:val="00762472"/>
    <w:rsid w:val="007642D1"/>
    <w:rsid w:val="00765F68"/>
    <w:rsid w:val="00770438"/>
    <w:rsid w:val="00770690"/>
    <w:rsid w:val="00772323"/>
    <w:rsid w:val="007768F6"/>
    <w:rsid w:val="00780FFA"/>
    <w:rsid w:val="00786DD1"/>
    <w:rsid w:val="007877B4"/>
    <w:rsid w:val="00787A32"/>
    <w:rsid w:val="007923CF"/>
    <w:rsid w:val="00792F43"/>
    <w:rsid w:val="007B1C15"/>
    <w:rsid w:val="007B462B"/>
    <w:rsid w:val="007C0C51"/>
    <w:rsid w:val="007C24B1"/>
    <w:rsid w:val="007C2A94"/>
    <w:rsid w:val="007C391B"/>
    <w:rsid w:val="007C6B7E"/>
    <w:rsid w:val="007C7FBC"/>
    <w:rsid w:val="007D5A01"/>
    <w:rsid w:val="007D7614"/>
    <w:rsid w:val="007E131B"/>
    <w:rsid w:val="007E2E3A"/>
    <w:rsid w:val="007E7114"/>
    <w:rsid w:val="007E7321"/>
    <w:rsid w:val="007F7084"/>
    <w:rsid w:val="007F755D"/>
    <w:rsid w:val="008022F1"/>
    <w:rsid w:val="00804900"/>
    <w:rsid w:val="00811DE0"/>
    <w:rsid w:val="0081543F"/>
    <w:rsid w:val="00815C20"/>
    <w:rsid w:val="00820992"/>
    <w:rsid w:val="0082230F"/>
    <w:rsid w:val="00823030"/>
    <w:rsid w:val="0082416D"/>
    <w:rsid w:val="00830593"/>
    <w:rsid w:val="00830B98"/>
    <w:rsid w:val="0083125D"/>
    <w:rsid w:val="008337B6"/>
    <w:rsid w:val="00833B4C"/>
    <w:rsid w:val="00835879"/>
    <w:rsid w:val="0084318E"/>
    <w:rsid w:val="00845BFB"/>
    <w:rsid w:val="008505D5"/>
    <w:rsid w:val="00850DBC"/>
    <w:rsid w:val="00850E61"/>
    <w:rsid w:val="00851702"/>
    <w:rsid w:val="00851C68"/>
    <w:rsid w:val="00852B51"/>
    <w:rsid w:val="00854B86"/>
    <w:rsid w:val="008608D2"/>
    <w:rsid w:val="008617DD"/>
    <w:rsid w:val="00865047"/>
    <w:rsid w:val="00865BF7"/>
    <w:rsid w:val="00866B3D"/>
    <w:rsid w:val="00870536"/>
    <w:rsid w:val="0087288C"/>
    <w:rsid w:val="00872947"/>
    <w:rsid w:val="0087386E"/>
    <w:rsid w:val="00873CF5"/>
    <w:rsid w:val="00873FEF"/>
    <w:rsid w:val="00875FD0"/>
    <w:rsid w:val="008852C6"/>
    <w:rsid w:val="0088746A"/>
    <w:rsid w:val="00891C3A"/>
    <w:rsid w:val="00893F54"/>
    <w:rsid w:val="00895F08"/>
    <w:rsid w:val="008A0DDB"/>
    <w:rsid w:val="008A59BF"/>
    <w:rsid w:val="008A5AED"/>
    <w:rsid w:val="008A6A31"/>
    <w:rsid w:val="008A71E0"/>
    <w:rsid w:val="008A726A"/>
    <w:rsid w:val="008B2B39"/>
    <w:rsid w:val="008B3568"/>
    <w:rsid w:val="008B3AC4"/>
    <w:rsid w:val="008C285A"/>
    <w:rsid w:val="008C5A40"/>
    <w:rsid w:val="008D007A"/>
    <w:rsid w:val="008D15AC"/>
    <w:rsid w:val="008D1CB8"/>
    <w:rsid w:val="008D2102"/>
    <w:rsid w:val="008D3157"/>
    <w:rsid w:val="008D4BDA"/>
    <w:rsid w:val="008D785F"/>
    <w:rsid w:val="008E5797"/>
    <w:rsid w:val="008E5FE5"/>
    <w:rsid w:val="008F1F05"/>
    <w:rsid w:val="008F2848"/>
    <w:rsid w:val="008F444D"/>
    <w:rsid w:val="008F6515"/>
    <w:rsid w:val="009004CB"/>
    <w:rsid w:val="0090779A"/>
    <w:rsid w:val="009167DB"/>
    <w:rsid w:val="00916DB7"/>
    <w:rsid w:val="0092387E"/>
    <w:rsid w:val="0092646B"/>
    <w:rsid w:val="00930EC8"/>
    <w:rsid w:val="009321CA"/>
    <w:rsid w:val="00932901"/>
    <w:rsid w:val="00933E63"/>
    <w:rsid w:val="00935BA8"/>
    <w:rsid w:val="00937FA2"/>
    <w:rsid w:val="0094321D"/>
    <w:rsid w:val="00944405"/>
    <w:rsid w:val="00946D12"/>
    <w:rsid w:val="00950205"/>
    <w:rsid w:val="0095038D"/>
    <w:rsid w:val="00955B85"/>
    <w:rsid w:val="00955D63"/>
    <w:rsid w:val="00956930"/>
    <w:rsid w:val="00962D01"/>
    <w:rsid w:val="0096381D"/>
    <w:rsid w:val="00966253"/>
    <w:rsid w:val="00967B35"/>
    <w:rsid w:val="00972BF7"/>
    <w:rsid w:val="00972FBA"/>
    <w:rsid w:val="00973BD8"/>
    <w:rsid w:val="00973C49"/>
    <w:rsid w:val="00973F2B"/>
    <w:rsid w:val="009743F1"/>
    <w:rsid w:val="00975659"/>
    <w:rsid w:val="00976F5C"/>
    <w:rsid w:val="009779A0"/>
    <w:rsid w:val="00977E9C"/>
    <w:rsid w:val="00981862"/>
    <w:rsid w:val="009840D8"/>
    <w:rsid w:val="009843AD"/>
    <w:rsid w:val="0098482E"/>
    <w:rsid w:val="00992210"/>
    <w:rsid w:val="00992250"/>
    <w:rsid w:val="009928D3"/>
    <w:rsid w:val="00992A40"/>
    <w:rsid w:val="009A03B5"/>
    <w:rsid w:val="009A03E2"/>
    <w:rsid w:val="009A0852"/>
    <w:rsid w:val="009A1F8E"/>
    <w:rsid w:val="009A32AA"/>
    <w:rsid w:val="009A5939"/>
    <w:rsid w:val="009A6B75"/>
    <w:rsid w:val="009B2B3B"/>
    <w:rsid w:val="009B38EC"/>
    <w:rsid w:val="009B5EB1"/>
    <w:rsid w:val="009C216D"/>
    <w:rsid w:val="009C3037"/>
    <w:rsid w:val="009C4A6D"/>
    <w:rsid w:val="009D422A"/>
    <w:rsid w:val="009E1CC6"/>
    <w:rsid w:val="009E276E"/>
    <w:rsid w:val="009E564A"/>
    <w:rsid w:val="009E6D9B"/>
    <w:rsid w:val="009F36C1"/>
    <w:rsid w:val="009F45AA"/>
    <w:rsid w:val="009F53D5"/>
    <w:rsid w:val="00A01F77"/>
    <w:rsid w:val="00A02B36"/>
    <w:rsid w:val="00A0557D"/>
    <w:rsid w:val="00A076E0"/>
    <w:rsid w:val="00A11589"/>
    <w:rsid w:val="00A13A99"/>
    <w:rsid w:val="00A1491A"/>
    <w:rsid w:val="00A2336C"/>
    <w:rsid w:val="00A23BE3"/>
    <w:rsid w:val="00A253DD"/>
    <w:rsid w:val="00A25448"/>
    <w:rsid w:val="00A3144A"/>
    <w:rsid w:val="00A3399B"/>
    <w:rsid w:val="00A35BCF"/>
    <w:rsid w:val="00A35C51"/>
    <w:rsid w:val="00A35C6A"/>
    <w:rsid w:val="00A35E0C"/>
    <w:rsid w:val="00A400B3"/>
    <w:rsid w:val="00A46C34"/>
    <w:rsid w:val="00A5238C"/>
    <w:rsid w:val="00A537F4"/>
    <w:rsid w:val="00A6272F"/>
    <w:rsid w:val="00A6312B"/>
    <w:rsid w:val="00A6386B"/>
    <w:rsid w:val="00A67AA3"/>
    <w:rsid w:val="00A700A0"/>
    <w:rsid w:val="00A70178"/>
    <w:rsid w:val="00A70F4C"/>
    <w:rsid w:val="00A74E1B"/>
    <w:rsid w:val="00A76B74"/>
    <w:rsid w:val="00A82F16"/>
    <w:rsid w:val="00A83BDE"/>
    <w:rsid w:val="00A83F78"/>
    <w:rsid w:val="00A90630"/>
    <w:rsid w:val="00A95A9D"/>
    <w:rsid w:val="00A96AB4"/>
    <w:rsid w:val="00A96B9E"/>
    <w:rsid w:val="00A96FA3"/>
    <w:rsid w:val="00AA39FE"/>
    <w:rsid w:val="00AA3D31"/>
    <w:rsid w:val="00AA3DED"/>
    <w:rsid w:val="00AA576E"/>
    <w:rsid w:val="00AA70A4"/>
    <w:rsid w:val="00AB289B"/>
    <w:rsid w:val="00AB596C"/>
    <w:rsid w:val="00AB5F8F"/>
    <w:rsid w:val="00AB70C0"/>
    <w:rsid w:val="00AC3BD7"/>
    <w:rsid w:val="00AC766D"/>
    <w:rsid w:val="00AD000C"/>
    <w:rsid w:val="00AD19C1"/>
    <w:rsid w:val="00AD52EA"/>
    <w:rsid w:val="00AD538E"/>
    <w:rsid w:val="00AD6A16"/>
    <w:rsid w:val="00AE0E56"/>
    <w:rsid w:val="00AE2EC8"/>
    <w:rsid w:val="00AE39AB"/>
    <w:rsid w:val="00AE3D8C"/>
    <w:rsid w:val="00AE3DE9"/>
    <w:rsid w:val="00AE4CB1"/>
    <w:rsid w:val="00AE5A77"/>
    <w:rsid w:val="00AF1066"/>
    <w:rsid w:val="00AF123B"/>
    <w:rsid w:val="00AF5809"/>
    <w:rsid w:val="00AF6DE5"/>
    <w:rsid w:val="00AF704B"/>
    <w:rsid w:val="00B00859"/>
    <w:rsid w:val="00B012EB"/>
    <w:rsid w:val="00B02866"/>
    <w:rsid w:val="00B049BD"/>
    <w:rsid w:val="00B05D8E"/>
    <w:rsid w:val="00B07324"/>
    <w:rsid w:val="00B10894"/>
    <w:rsid w:val="00B12EB5"/>
    <w:rsid w:val="00B15096"/>
    <w:rsid w:val="00B15CB0"/>
    <w:rsid w:val="00B20A95"/>
    <w:rsid w:val="00B30136"/>
    <w:rsid w:val="00B30204"/>
    <w:rsid w:val="00B316B7"/>
    <w:rsid w:val="00B31AED"/>
    <w:rsid w:val="00B328EB"/>
    <w:rsid w:val="00B352B4"/>
    <w:rsid w:val="00B35A7E"/>
    <w:rsid w:val="00B3737D"/>
    <w:rsid w:val="00B43BEA"/>
    <w:rsid w:val="00B445C0"/>
    <w:rsid w:val="00B459C2"/>
    <w:rsid w:val="00B46D21"/>
    <w:rsid w:val="00B50A22"/>
    <w:rsid w:val="00B52CEC"/>
    <w:rsid w:val="00B53E61"/>
    <w:rsid w:val="00B54CDA"/>
    <w:rsid w:val="00B63574"/>
    <w:rsid w:val="00B63B35"/>
    <w:rsid w:val="00B64D69"/>
    <w:rsid w:val="00B71084"/>
    <w:rsid w:val="00B71AC3"/>
    <w:rsid w:val="00B738F2"/>
    <w:rsid w:val="00B81D12"/>
    <w:rsid w:val="00B8221E"/>
    <w:rsid w:val="00B83D33"/>
    <w:rsid w:val="00B91591"/>
    <w:rsid w:val="00B945CD"/>
    <w:rsid w:val="00B9575C"/>
    <w:rsid w:val="00BA0D03"/>
    <w:rsid w:val="00BA3E34"/>
    <w:rsid w:val="00BB3220"/>
    <w:rsid w:val="00BB3854"/>
    <w:rsid w:val="00BB5A7F"/>
    <w:rsid w:val="00BC193A"/>
    <w:rsid w:val="00BC3075"/>
    <w:rsid w:val="00BC3528"/>
    <w:rsid w:val="00BD5226"/>
    <w:rsid w:val="00BD75C6"/>
    <w:rsid w:val="00BD7BDD"/>
    <w:rsid w:val="00BE6F27"/>
    <w:rsid w:val="00BF020C"/>
    <w:rsid w:val="00BF10C2"/>
    <w:rsid w:val="00BF6AEF"/>
    <w:rsid w:val="00BF7B57"/>
    <w:rsid w:val="00C01597"/>
    <w:rsid w:val="00C0183B"/>
    <w:rsid w:val="00C11FEC"/>
    <w:rsid w:val="00C14606"/>
    <w:rsid w:val="00C160FC"/>
    <w:rsid w:val="00C20A7A"/>
    <w:rsid w:val="00C240B2"/>
    <w:rsid w:val="00C261DB"/>
    <w:rsid w:val="00C27C77"/>
    <w:rsid w:val="00C304D5"/>
    <w:rsid w:val="00C311FA"/>
    <w:rsid w:val="00C31802"/>
    <w:rsid w:val="00C33A33"/>
    <w:rsid w:val="00C340D2"/>
    <w:rsid w:val="00C35055"/>
    <w:rsid w:val="00C3517B"/>
    <w:rsid w:val="00C36720"/>
    <w:rsid w:val="00C37184"/>
    <w:rsid w:val="00C418DD"/>
    <w:rsid w:val="00C42704"/>
    <w:rsid w:val="00C4508E"/>
    <w:rsid w:val="00C4567F"/>
    <w:rsid w:val="00C465FF"/>
    <w:rsid w:val="00C473C4"/>
    <w:rsid w:val="00C52CDE"/>
    <w:rsid w:val="00C62AEB"/>
    <w:rsid w:val="00C651B3"/>
    <w:rsid w:val="00C66EA6"/>
    <w:rsid w:val="00C67657"/>
    <w:rsid w:val="00C718E7"/>
    <w:rsid w:val="00C73C47"/>
    <w:rsid w:val="00C7587E"/>
    <w:rsid w:val="00C83232"/>
    <w:rsid w:val="00C8372B"/>
    <w:rsid w:val="00C85A39"/>
    <w:rsid w:val="00C92341"/>
    <w:rsid w:val="00C93857"/>
    <w:rsid w:val="00C95406"/>
    <w:rsid w:val="00CA2DA1"/>
    <w:rsid w:val="00CA439A"/>
    <w:rsid w:val="00CA47C7"/>
    <w:rsid w:val="00CA7EB9"/>
    <w:rsid w:val="00CB1407"/>
    <w:rsid w:val="00CB28B5"/>
    <w:rsid w:val="00CB2A3A"/>
    <w:rsid w:val="00CB520E"/>
    <w:rsid w:val="00CC01E2"/>
    <w:rsid w:val="00CC2800"/>
    <w:rsid w:val="00CC4988"/>
    <w:rsid w:val="00CD1BF9"/>
    <w:rsid w:val="00CD450F"/>
    <w:rsid w:val="00CE2C72"/>
    <w:rsid w:val="00CE5CBD"/>
    <w:rsid w:val="00CE6708"/>
    <w:rsid w:val="00CF0EC1"/>
    <w:rsid w:val="00CF516D"/>
    <w:rsid w:val="00CF61BD"/>
    <w:rsid w:val="00CF6410"/>
    <w:rsid w:val="00CF6BAC"/>
    <w:rsid w:val="00CF7072"/>
    <w:rsid w:val="00D01655"/>
    <w:rsid w:val="00D026F1"/>
    <w:rsid w:val="00D0274D"/>
    <w:rsid w:val="00D07E3B"/>
    <w:rsid w:val="00D129D6"/>
    <w:rsid w:val="00D13424"/>
    <w:rsid w:val="00D1672F"/>
    <w:rsid w:val="00D209F5"/>
    <w:rsid w:val="00D225E0"/>
    <w:rsid w:val="00D27A88"/>
    <w:rsid w:val="00D30627"/>
    <w:rsid w:val="00D329D7"/>
    <w:rsid w:val="00D3487F"/>
    <w:rsid w:val="00D36302"/>
    <w:rsid w:val="00D365C9"/>
    <w:rsid w:val="00D36D13"/>
    <w:rsid w:val="00D42F7C"/>
    <w:rsid w:val="00D44355"/>
    <w:rsid w:val="00D44859"/>
    <w:rsid w:val="00D45CA8"/>
    <w:rsid w:val="00D45F81"/>
    <w:rsid w:val="00D479A1"/>
    <w:rsid w:val="00D502F9"/>
    <w:rsid w:val="00D50820"/>
    <w:rsid w:val="00D53AC5"/>
    <w:rsid w:val="00D5756E"/>
    <w:rsid w:val="00D64B3D"/>
    <w:rsid w:val="00D65FCB"/>
    <w:rsid w:val="00D70903"/>
    <w:rsid w:val="00D71978"/>
    <w:rsid w:val="00D7333C"/>
    <w:rsid w:val="00D7367D"/>
    <w:rsid w:val="00D73A3A"/>
    <w:rsid w:val="00D74D96"/>
    <w:rsid w:val="00D9362F"/>
    <w:rsid w:val="00DA2D75"/>
    <w:rsid w:val="00DA6B63"/>
    <w:rsid w:val="00DB1AFC"/>
    <w:rsid w:val="00DB21FC"/>
    <w:rsid w:val="00DB28C7"/>
    <w:rsid w:val="00DB5B6C"/>
    <w:rsid w:val="00DC2AB9"/>
    <w:rsid w:val="00DC3765"/>
    <w:rsid w:val="00DC585D"/>
    <w:rsid w:val="00DC6242"/>
    <w:rsid w:val="00DD4559"/>
    <w:rsid w:val="00DD5551"/>
    <w:rsid w:val="00DE2051"/>
    <w:rsid w:val="00DE2159"/>
    <w:rsid w:val="00DE33DC"/>
    <w:rsid w:val="00DE46E8"/>
    <w:rsid w:val="00DE48C7"/>
    <w:rsid w:val="00DE5FD6"/>
    <w:rsid w:val="00DF43A4"/>
    <w:rsid w:val="00DF54AD"/>
    <w:rsid w:val="00DF6CDB"/>
    <w:rsid w:val="00DF70E7"/>
    <w:rsid w:val="00E0020C"/>
    <w:rsid w:val="00E00B29"/>
    <w:rsid w:val="00E015DA"/>
    <w:rsid w:val="00E02E72"/>
    <w:rsid w:val="00E04E16"/>
    <w:rsid w:val="00E05DF1"/>
    <w:rsid w:val="00E07879"/>
    <w:rsid w:val="00E100E9"/>
    <w:rsid w:val="00E114E5"/>
    <w:rsid w:val="00E1283E"/>
    <w:rsid w:val="00E13414"/>
    <w:rsid w:val="00E13701"/>
    <w:rsid w:val="00E13E35"/>
    <w:rsid w:val="00E16631"/>
    <w:rsid w:val="00E17895"/>
    <w:rsid w:val="00E21291"/>
    <w:rsid w:val="00E21380"/>
    <w:rsid w:val="00E23122"/>
    <w:rsid w:val="00E25B2A"/>
    <w:rsid w:val="00E26743"/>
    <w:rsid w:val="00E33442"/>
    <w:rsid w:val="00E3407A"/>
    <w:rsid w:val="00E36B92"/>
    <w:rsid w:val="00E37975"/>
    <w:rsid w:val="00E40667"/>
    <w:rsid w:val="00E40867"/>
    <w:rsid w:val="00E436D6"/>
    <w:rsid w:val="00E46019"/>
    <w:rsid w:val="00E47D1B"/>
    <w:rsid w:val="00E50F47"/>
    <w:rsid w:val="00E535CA"/>
    <w:rsid w:val="00E60E3A"/>
    <w:rsid w:val="00E669EB"/>
    <w:rsid w:val="00E66F9F"/>
    <w:rsid w:val="00E7257E"/>
    <w:rsid w:val="00E775A2"/>
    <w:rsid w:val="00E77F9D"/>
    <w:rsid w:val="00E8052D"/>
    <w:rsid w:val="00E823E1"/>
    <w:rsid w:val="00E82CF7"/>
    <w:rsid w:val="00E83816"/>
    <w:rsid w:val="00E84613"/>
    <w:rsid w:val="00E84BAC"/>
    <w:rsid w:val="00E855A7"/>
    <w:rsid w:val="00E87E17"/>
    <w:rsid w:val="00E94010"/>
    <w:rsid w:val="00E94060"/>
    <w:rsid w:val="00EA07B7"/>
    <w:rsid w:val="00EA0C46"/>
    <w:rsid w:val="00EA19A0"/>
    <w:rsid w:val="00EA2D5B"/>
    <w:rsid w:val="00EA6897"/>
    <w:rsid w:val="00EB0CAF"/>
    <w:rsid w:val="00EB5783"/>
    <w:rsid w:val="00EB738F"/>
    <w:rsid w:val="00EC3626"/>
    <w:rsid w:val="00EC566B"/>
    <w:rsid w:val="00EC63EB"/>
    <w:rsid w:val="00ED3C13"/>
    <w:rsid w:val="00ED66B1"/>
    <w:rsid w:val="00EE3F5F"/>
    <w:rsid w:val="00EE48CB"/>
    <w:rsid w:val="00EE492F"/>
    <w:rsid w:val="00EE4CB8"/>
    <w:rsid w:val="00EE50D3"/>
    <w:rsid w:val="00EF03D8"/>
    <w:rsid w:val="00EF1A13"/>
    <w:rsid w:val="00EF23A8"/>
    <w:rsid w:val="00EF795D"/>
    <w:rsid w:val="00F01BFF"/>
    <w:rsid w:val="00F01C58"/>
    <w:rsid w:val="00F03E3A"/>
    <w:rsid w:val="00F05BE3"/>
    <w:rsid w:val="00F12692"/>
    <w:rsid w:val="00F23A75"/>
    <w:rsid w:val="00F24BAD"/>
    <w:rsid w:val="00F26A7D"/>
    <w:rsid w:val="00F313BB"/>
    <w:rsid w:val="00F3193B"/>
    <w:rsid w:val="00F44FF0"/>
    <w:rsid w:val="00F471B5"/>
    <w:rsid w:val="00F47B9B"/>
    <w:rsid w:val="00F5735F"/>
    <w:rsid w:val="00F60382"/>
    <w:rsid w:val="00F63F0B"/>
    <w:rsid w:val="00F660D3"/>
    <w:rsid w:val="00F70F21"/>
    <w:rsid w:val="00F7293A"/>
    <w:rsid w:val="00F72FC7"/>
    <w:rsid w:val="00F733F1"/>
    <w:rsid w:val="00F75ED1"/>
    <w:rsid w:val="00F816EF"/>
    <w:rsid w:val="00F81DD9"/>
    <w:rsid w:val="00F820AD"/>
    <w:rsid w:val="00F822BA"/>
    <w:rsid w:val="00F841DA"/>
    <w:rsid w:val="00F86770"/>
    <w:rsid w:val="00F86E2C"/>
    <w:rsid w:val="00F91758"/>
    <w:rsid w:val="00F96DA7"/>
    <w:rsid w:val="00FA3966"/>
    <w:rsid w:val="00FA3B19"/>
    <w:rsid w:val="00FA76ED"/>
    <w:rsid w:val="00FB0D7F"/>
    <w:rsid w:val="00FB0DA1"/>
    <w:rsid w:val="00FB5737"/>
    <w:rsid w:val="00FB5E65"/>
    <w:rsid w:val="00FB6361"/>
    <w:rsid w:val="00FB710A"/>
    <w:rsid w:val="00FC2680"/>
    <w:rsid w:val="00FC49D3"/>
    <w:rsid w:val="00FC5C8B"/>
    <w:rsid w:val="00FD1944"/>
    <w:rsid w:val="00FD1F52"/>
    <w:rsid w:val="00FD3428"/>
    <w:rsid w:val="00FD3770"/>
    <w:rsid w:val="00FD4CD7"/>
    <w:rsid w:val="00FD57AC"/>
    <w:rsid w:val="00FD611E"/>
    <w:rsid w:val="00FE58F8"/>
    <w:rsid w:val="00FF5A84"/>
    <w:rsid w:val="00FF5F96"/>
    <w:rsid w:val="00FF7B93"/>
    <w:rsid w:val="01085DDA"/>
    <w:rsid w:val="014235B9"/>
    <w:rsid w:val="01AD26AB"/>
    <w:rsid w:val="01BF6A18"/>
    <w:rsid w:val="01D90A5B"/>
    <w:rsid w:val="020572E6"/>
    <w:rsid w:val="023D7560"/>
    <w:rsid w:val="025D6033"/>
    <w:rsid w:val="02934A77"/>
    <w:rsid w:val="02F826F8"/>
    <w:rsid w:val="030E7329"/>
    <w:rsid w:val="031C49E4"/>
    <w:rsid w:val="035171E8"/>
    <w:rsid w:val="03964463"/>
    <w:rsid w:val="03EC4A96"/>
    <w:rsid w:val="04573C97"/>
    <w:rsid w:val="04A62263"/>
    <w:rsid w:val="04D514C5"/>
    <w:rsid w:val="06804A29"/>
    <w:rsid w:val="06D12F04"/>
    <w:rsid w:val="070147F0"/>
    <w:rsid w:val="07084B3D"/>
    <w:rsid w:val="0715622B"/>
    <w:rsid w:val="07723C66"/>
    <w:rsid w:val="077A4296"/>
    <w:rsid w:val="07C05488"/>
    <w:rsid w:val="08CC342E"/>
    <w:rsid w:val="08D60991"/>
    <w:rsid w:val="08ED1FD0"/>
    <w:rsid w:val="09A33C99"/>
    <w:rsid w:val="0A517DE4"/>
    <w:rsid w:val="0B0A720C"/>
    <w:rsid w:val="0B210B69"/>
    <w:rsid w:val="0BA832A0"/>
    <w:rsid w:val="0BAE41AC"/>
    <w:rsid w:val="0C430E6B"/>
    <w:rsid w:val="0C454F1A"/>
    <w:rsid w:val="0CBA2E64"/>
    <w:rsid w:val="0CDC6A9B"/>
    <w:rsid w:val="0D305C27"/>
    <w:rsid w:val="0D325518"/>
    <w:rsid w:val="0D3855C7"/>
    <w:rsid w:val="0D44577F"/>
    <w:rsid w:val="0D5F2CC9"/>
    <w:rsid w:val="0DE8115D"/>
    <w:rsid w:val="0E1244B0"/>
    <w:rsid w:val="0E7C43A7"/>
    <w:rsid w:val="0F58133D"/>
    <w:rsid w:val="0F88207C"/>
    <w:rsid w:val="0FC66A4B"/>
    <w:rsid w:val="103D238C"/>
    <w:rsid w:val="104D154C"/>
    <w:rsid w:val="10796576"/>
    <w:rsid w:val="107C0038"/>
    <w:rsid w:val="112935D9"/>
    <w:rsid w:val="112F6341"/>
    <w:rsid w:val="11653E40"/>
    <w:rsid w:val="11A26BD7"/>
    <w:rsid w:val="11DC4D20"/>
    <w:rsid w:val="12074585"/>
    <w:rsid w:val="124459AF"/>
    <w:rsid w:val="12507F4B"/>
    <w:rsid w:val="12CA0B7B"/>
    <w:rsid w:val="130D6618"/>
    <w:rsid w:val="13363B27"/>
    <w:rsid w:val="13A8419A"/>
    <w:rsid w:val="13A94318"/>
    <w:rsid w:val="13D43D5F"/>
    <w:rsid w:val="13D46D6A"/>
    <w:rsid w:val="13F02C4B"/>
    <w:rsid w:val="1403688C"/>
    <w:rsid w:val="141921BC"/>
    <w:rsid w:val="14437EB1"/>
    <w:rsid w:val="14670C48"/>
    <w:rsid w:val="14E46E10"/>
    <w:rsid w:val="14E72187"/>
    <w:rsid w:val="15400886"/>
    <w:rsid w:val="154379B5"/>
    <w:rsid w:val="15A31EC4"/>
    <w:rsid w:val="15B37C03"/>
    <w:rsid w:val="15E22F65"/>
    <w:rsid w:val="169D0859"/>
    <w:rsid w:val="16FE6FD0"/>
    <w:rsid w:val="171A61F1"/>
    <w:rsid w:val="1722340C"/>
    <w:rsid w:val="172476F1"/>
    <w:rsid w:val="17943440"/>
    <w:rsid w:val="17B03472"/>
    <w:rsid w:val="17B90577"/>
    <w:rsid w:val="17C41A6E"/>
    <w:rsid w:val="17DD751B"/>
    <w:rsid w:val="180D170A"/>
    <w:rsid w:val="1828665D"/>
    <w:rsid w:val="183764AB"/>
    <w:rsid w:val="18876E76"/>
    <w:rsid w:val="18A845AA"/>
    <w:rsid w:val="18CE39BB"/>
    <w:rsid w:val="190B40F8"/>
    <w:rsid w:val="19166CC3"/>
    <w:rsid w:val="193216F6"/>
    <w:rsid w:val="196037D4"/>
    <w:rsid w:val="19715416"/>
    <w:rsid w:val="19C71CD1"/>
    <w:rsid w:val="19D959DB"/>
    <w:rsid w:val="1A137516"/>
    <w:rsid w:val="1A5C17F1"/>
    <w:rsid w:val="1AB079AF"/>
    <w:rsid w:val="1AE42A14"/>
    <w:rsid w:val="1AF3454B"/>
    <w:rsid w:val="1BE715B0"/>
    <w:rsid w:val="1BF212A2"/>
    <w:rsid w:val="1BFA7686"/>
    <w:rsid w:val="1C08743D"/>
    <w:rsid w:val="1C145418"/>
    <w:rsid w:val="1C2438C7"/>
    <w:rsid w:val="1CAA4201"/>
    <w:rsid w:val="1CD52775"/>
    <w:rsid w:val="1CFA2908"/>
    <w:rsid w:val="1D4A523C"/>
    <w:rsid w:val="1DA34A72"/>
    <w:rsid w:val="1DEF250E"/>
    <w:rsid w:val="1E4574BB"/>
    <w:rsid w:val="1E582256"/>
    <w:rsid w:val="1EB1247A"/>
    <w:rsid w:val="1EC95CAF"/>
    <w:rsid w:val="1EDE1F1F"/>
    <w:rsid w:val="1EE64285"/>
    <w:rsid w:val="1EEF511B"/>
    <w:rsid w:val="1F0F258C"/>
    <w:rsid w:val="1F110884"/>
    <w:rsid w:val="1F2D0A4E"/>
    <w:rsid w:val="1F7129B2"/>
    <w:rsid w:val="1F920DAF"/>
    <w:rsid w:val="1FC03611"/>
    <w:rsid w:val="1FE551E5"/>
    <w:rsid w:val="201C39CC"/>
    <w:rsid w:val="205B3F30"/>
    <w:rsid w:val="208156AA"/>
    <w:rsid w:val="219D13A6"/>
    <w:rsid w:val="21C00B8E"/>
    <w:rsid w:val="22570C31"/>
    <w:rsid w:val="226F30E9"/>
    <w:rsid w:val="22B3385C"/>
    <w:rsid w:val="22F04DE6"/>
    <w:rsid w:val="23101D97"/>
    <w:rsid w:val="23171E25"/>
    <w:rsid w:val="23353511"/>
    <w:rsid w:val="234F59C2"/>
    <w:rsid w:val="23696D5F"/>
    <w:rsid w:val="238D11F2"/>
    <w:rsid w:val="23C22676"/>
    <w:rsid w:val="24497AE1"/>
    <w:rsid w:val="247A365F"/>
    <w:rsid w:val="247D6398"/>
    <w:rsid w:val="24F70A1F"/>
    <w:rsid w:val="251975B3"/>
    <w:rsid w:val="256E4D09"/>
    <w:rsid w:val="2573432E"/>
    <w:rsid w:val="259845E4"/>
    <w:rsid w:val="2608186E"/>
    <w:rsid w:val="260D3542"/>
    <w:rsid w:val="264B6B1E"/>
    <w:rsid w:val="264D1C45"/>
    <w:rsid w:val="2680210E"/>
    <w:rsid w:val="26CC2714"/>
    <w:rsid w:val="26DE6E9F"/>
    <w:rsid w:val="27496228"/>
    <w:rsid w:val="277E2C70"/>
    <w:rsid w:val="27AA62A0"/>
    <w:rsid w:val="27F64C5F"/>
    <w:rsid w:val="27F732B4"/>
    <w:rsid w:val="281C34DB"/>
    <w:rsid w:val="281E0F81"/>
    <w:rsid w:val="284A05E5"/>
    <w:rsid w:val="285D0B39"/>
    <w:rsid w:val="286A2DBF"/>
    <w:rsid w:val="28DD3973"/>
    <w:rsid w:val="295328C3"/>
    <w:rsid w:val="2A1356EC"/>
    <w:rsid w:val="2A6700FF"/>
    <w:rsid w:val="2AAA0A26"/>
    <w:rsid w:val="2AE03C38"/>
    <w:rsid w:val="2AFB679D"/>
    <w:rsid w:val="2B9C54C7"/>
    <w:rsid w:val="2BC56477"/>
    <w:rsid w:val="2C64295D"/>
    <w:rsid w:val="2C7021A4"/>
    <w:rsid w:val="2D045E29"/>
    <w:rsid w:val="2D532CA6"/>
    <w:rsid w:val="2D8319BA"/>
    <w:rsid w:val="2EC27764"/>
    <w:rsid w:val="2F051C71"/>
    <w:rsid w:val="2F4100C2"/>
    <w:rsid w:val="2F851376"/>
    <w:rsid w:val="2F8809C5"/>
    <w:rsid w:val="304D0EF0"/>
    <w:rsid w:val="30566B27"/>
    <w:rsid w:val="30BF761E"/>
    <w:rsid w:val="30E04B95"/>
    <w:rsid w:val="315F06FD"/>
    <w:rsid w:val="318C297C"/>
    <w:rsid w:val="31A81762"/>
    <w:rsid w:val="31BB54F3"/>
    <w:rsid w:val="32061D4D"/>
    <w:rsid w:val="322D6507"/>
    <w:rsid w:val="32314AF9"/>
    <w:rsid w:val="32780CE8"/>
    <w:rsid w:val="33341534"/>
    <w:rsid w:val="33376F71"/>
    <w:rsid w:val="33CE413D"/>
    <w:rsid w:val="33D00397"/>
    <w:rsid w:val="344A01D7"/>
    <w:rsid w:val="34BE3B11"/>
    <w:rsid w:val="34BF36C7"/>
    <w:rsid w:val="34EB3D61"/>
    <w:rsid w:val="34F07FFF"/>
    <w:rsid w:val="35143ACA"/>
    <w:rsid w:val="3577778C"/>
    <w:rsid w:val="35F07678"/>
    <w:rsid w:val="363A2858"/>
    <w:rsid w:val="365F6E56"/>
    <w:rsid w:val="36864C08"/>
    <w:rsid w:val="368A0AE5"/>
    <w:rsid w:val="36AA5887"/>
    <w:rsid w:val="36EB6FE9"/>
    <w:rsid w:val="37050A13"/>
    <w:rsid w:val="37594367"/>
    <w:rsid w:val="375C6ADF"/>
    <w:rsid w:val="377333C2"/>
    <w:rsid w:val="37E84129"/>
    <w:rsid w:val="37F61B32"/>
    <w:rsid w:val="381B6F8E"/>
    <w:rsid w:val="383D424F"/>
    <w:rsid w:val="385327F4"/>
    <w:rsid w:val="385A5C6E"/>
    <w:rsid w:val="386123B2"/>
    <w:rsid w:val="388130CD"/>
    <w:rsid w:val="38E4172A"/>
    <w:rsid w:val="3919796C"/>
    <w:rsid w:val="399F1C6D"/>
    <w:rsid w:val="39D408B8"/>
    <w:rsid w:val="3A6C0648"/>
    <w:rsid w:val="3A8E47D6"/>
    <w:rsid w:val="3AAD14C7"/>
    <w:rsid w:val="3ADC5842"/>
    <w:rsid w:val="3AE53EEE"/>
    <w:rsid w:val="3AFD1EAA"/>
    <w:rsid w:val="3B21213C"/>
    <w:rsid w:val="3B986B5D"/>
    <w:rsid w:val="3B9B7A2E"/>
    <w:rsid w:val="3BC352AF"/>
    <w:rsid w:val="3C591FEA"/>
    <w:rsid w:val="3CD263D0"/>
    <w:rsid w:val="3D06796C"/>
    <w:rsid w:val="3E490B8B"/>
    <w:rsid w:val="3EE46A15"/>
    <w:rsid w:val="3F0548A9"/>
    <w:rsid w:val="3F18151D"/>
    <w:rsid w:val="3F41233F"/>
    <w:rsid w:val="3F4534F4"/>
    <w:rsid w:val="3FD842C0"/>
    <w:rsid w:val="401131BA"/>
    <w:rsid w:val="401956B1"/>
    <w:rsid w:val="404F1F03"/>
    <w:rsid w:val="405E6F00"/>
    <w:rsid w:val="409F2FEA"/>
    <w:rsid w:val="40C225B2"/>
    <w:rsid w:val="41174256"/>
    <w:rsid w:val="412C666E"/>
    <w:rsid w:val="414C22D3"/>
    <w:rsid w:val="41595E05"/>
    <w:rsid w:val="41826A0A"/>
    <w:rsid w:val="41935B5F"/>
    <w:rsid w:val="41B0391F"/>
    <w:rsid w:val="41CA78DC"/>
    <w:rsid w:val="41E54F2E"/>
    <w:rsid w:val="41E9386E"/>
    <w:rsid w:val="420A0DED"/>
    <w:rsid w:val="42101EEC"/>
    <w:rsid w:val="421D19C9"/>
    <w:rsid w:val="42DF15D7"/>
    <w:rsid w:val="43035100"/>
    <w:rsid w:val="434E29DD"/>
    <w:rsid w:val="4383422A"/>
    <w:rsid w:val="43891F7E"/>
    <w:rsid w:val="441A6A9B"/>
    <w:rsid w:val="44571D0B"/>
    <w:rsid w:val="44841771"/>
    <w:rsid w:val="44B178B1"/>
    <w:rsid w:val="450100D0"/>
    <w:rsid w:val="45BA35F5"/>
    <w:rsid w:val="45BC3AA4"/>
    <w:rsid w:val="45E32861"/>
    <w:rsid w:val="461A71C6"/>
    <w:rsid w:val="46CF674B"/>
    <w:rsid w:val="4722313D"/>
    <w:rsid w:val="47242F8C"/>
    <w:rsid w:val="47594938"/>
    <w:rsid w:val="476517D5"/>
    <w:rsid w:val="4792031C"/>
    <w:rsid w:val="479E168D"/>
    <w:rsid w:val="47D05835"/>
    <w:rsid w:val="48517E5F"/>
    <w:rsid w:val="487E4956"/>
    <w:rsid w:val="48A96FD9"/>
    <w:rsid w:val="48AD1623"/>
    <w:rsid w:val="48AF0E9F"/>
    <w:rsid w:val="48FA7F5B"/>
    <w:rsid w:val="496830A5"/>
    <w:rsid w:val="49836524"/>
    <w:rsid w:val="49AA435D"/>
    <w:rsid w:val="49AF36A0"/>
    <w:rsid w:val="4A0B660E"/>
    <w:rsid w:val="4A5C1491"/>
    <w:rsid w:val="4AA7325B"/>
    <w:rsid w:val="4ADA22B7"/>
    <w:rsid w:val="4B36018E"/>
    <w:rsid w:val="4C905782"/>
    <w:rsid w:val="4C987937"/>
    <w:rsid w:val="4CA90DF1"/>
    <w:rsid w:val="4E61460F"/>
    <w:rsid w:val="4EA63531"/>
    <w:rsid w:val="4EB57540"/>
    <w:rsid w:val="4EF739A9"/>
    <w:rsid w:val="4EFF33CA"/>
    <w:rsid w:val="4F1374C6"/>
    <w:rsid w:val="4F80452F"/>
    <w:rsid w:val="4FB36B8C"/>
    <w:rsid w:val="4FFB132D"/>
    <w:rsid w:val="50306E96"/>
    <w:rsid w:val="505F22B6"/>
    <w:rsid w:val="50703CBF"/>
    <w:rsid w:val="50747A0A"/>
    <w:rsid w:val="5076278A"/>
    <w:rsid w:val="507A51E1"/>
    <w:rsid w:val="5088079E"/>
    <w:rsid w:val="50DB6CEB"/>
    <w:rsid w:val="513B4216"/>
    <w:rsid w:val="514A29FE"/>
    <w:rsid w:val="51762229"/>
    <w:rsid w:val="519A74E5"/>
    <w:rsid w:val="51BB538A"/>
    <w:rsid w:val="51E7548F"/>
    <w:rsid w:val="533908CF"/>
    <w:rsid w:val="53806D09"/>
    <w:rsid w:val="539820D3"/>
    <w:rsid w:val="53C91A57"/>
    <w:rsid w:val="544F4C6F"/>
    <w:rsid w:val="54741249"/>
    <w:rsid w:val="54F83A72"/>
    <w:rsid w:val="5513158D"/>
    <w:rsid w:val="55376A31"/>
    <w:rsid w:val="55531EE2"/>
    <w:rsid w:val="5568045F"/>
    <w:rsid w:val="559A3594"/>
    <w:rsid w:val="55A63647"/>
    <w:rsid w:val="55F527F1"/>
    <w:rsid w:val="55F75BC8"/>
    <w:rsid w:val="56116F26"/>
    <w:rsid w:val="561F763E"/>
    <w:rsid w:val="563442B4"/>
    <w:rsid w:val="56444B3F"/>
    <w:rsid w:val="56721F4C"/>
    <w:rsid w:val="56A93126"/>
    <w:rsid w:val="56DA3EA8"/>
    <w:rsid w:val="56ED5962"/>
    <w:rsid w:val="570024F2"/>
    <w:rsid w:val="579B16F7"/>
    <w:rsid w:val="57B0137C"/>
    <w:rsid w:val="57DC5EEE"/>
    <w:rsid w:val="582F613B"/>
    <w:rsid w:val="588E0AA6"/>
    <w:rsid w:val="58C62DCB"/>
    <w:rsid w:val="58E8094E"/>
    <w:rsid w:val="58EA372D"/>
    <w:rsid w:val="58F105D1"/>
    <w:rsid w:val="592C19FD"/>
    <w:rsid w:val="598D2A90"/>
    <w:rsid w:val="59B17287"/>
    <w:rsid w:val="59D77512"/>
    <w:rsid w:val="5A113186"/>
    <w:rsid w:val="5A2A1581"/>
    <w:rsid w:val="5A390F60"/>
    <w:rsid w:val="5A432F65"/>
    <w:rsid w:val="5A852C5F"/>
    <w:rsid w:val="5A941A0C"/>
    <w:rsid w:val="5AF403D6"/>
    <w:rsid w:val="5B3366F6"/>
    <w:rsid w:val="5B476A7E"/>
    <w:rsid w:val="5C563CB1"/>
    <w:rsid w:val="5C583771"/>
    <w:rsid w:val="5C766535"/>
    <w:rsid w:val="5CF46D8A"/>
    <w:rsid w:val="5D1C3D33"/>
    <w:rsid w:val="5D777EA5"/>
    <w:rsid w:val="5DE03F2D"/>
    <w:rsid w:val="5E1C7BE6"/>
    <w:rsid w:val="5E7A0E6B"/>
    <w:rsid w:val="5E997840"/>
    <w:rsid w:val="5EE40E72"/>
    <w:rsid w:val="5F461964"/>
    <w:rsid w:val="5F7C3698"/>
    <w:rsid w:val="5FC1173D"/>
    <w:rsid w:val="5FFD75FF"/>
    <w:rsid w:val="60595D07"/>
    <w:rsid w:val="606018CD"/>
    <w:rsid w:val="607055B7"/>
    <w:rsid w:val="60F25EDD"/>
    <w:rsid w:val="616F30B9"/>
    <w:rsid w:val="61CF13C3"/>
    <w:rsid w:val="62276881"/>
    <w:rsid w:val="622E268C"/>
    <w:rsid w:val="628F0E5D"/>
    <w:rsid w:val="62B40EAF"/>
    <w:rsid w:val="62BD26D7"/>
    <w:rsid w:val="62C574FA"/>
    <w:rsid w:val="62D34CC7"/>
    <w:rsid w:val="62DB1601"/>
    <w:rsid w:val="63AD231E"/>
    <w:rsid w:val="63AF5DFA"/>
    <w:rsid w:val="63CA0E4B"/>
    <w:rsid w:val="63F453F4"/>
    <w:rsid w:val="640501DC"/>
    <w:rsid w:val="64474EE1"/>
    <w:rsid w:val="6454517B"/>
    <w:rsid w:val="6463268D"/>
    <w:rsid w:val="6475481C"/>
    <w:rsid w:val="647C2C6A"/>
    <w:rsid w:val="64871476"/>
    <w:rsid w:val="64931F8E"/>
    <w:rsid w:val="64B84A0A"/>
    <w:rsid w:val="655F49E6"/>
    <w:rsid w:val="658C7383"/>
    <w:rsid w:val="65AD7447"/>
    <w:rsid w:val="66047F76"/>
    <w:rsid w:val="66070FEC"/>
    <w:rsid w:val="66727C32"/>
    <w:rsid w:val="66CB1D6A"/>
    <w:rsid w:val="66EB21C2"/>
    <w:rsid w:val="673079E6"/>
    <w:rsid w:val="67847957"/>
    <w:rsid w:val="678718DC"/>
    <w:rsid w:val="67AA5795"/>
    <w:rsid w:val="67FF1C8E"/>
    <w:rsid w:val="6841386C"/>
    <w:rsid w:val="689B47B7"/>
    <w:rsid w:val="68D75DC7"/>
    <w:rsid w:val="690F0057"/>
    <w:rsid w:val="697E514B"/>
    <w:rsid w:val="699D5FB7"/>
    <w:rsid w:val="69E76B24"/>
    <w:rsid w:val="69FF3BBF"/>
    <w:rsid w:val="6A57561F"/>
    <w:rsid w:val="6A6206CD"/>
    <w:rsid w:val="6A8F146D"/>
    <w:rsid w:val="6B6A03C6"/>
    <w:rsid w:val="6BF4668D"/>
    <w:rsid w:val="6BF8004D"/>
    <w:rsid w:val="6C137383"/>
    <w:rsid w:val="6C141B2D"/>
    <w:rsid w:val="6C72396D"/>
    <w:rsid w:val="6C9054EB"/>
    <w:rsid w:val="6C99379F"/>
    <w:rsid w:val="6D500B56"/>
    <w:rsid w:val="6D7543A0"/>
    <w:rsid w:val="6D7B58F5"/>
    <w:rsid w:val="6D8B2C16"/>
    <w:rsid w:val="6E293857"/>
    <w:rsid w:val="6E6103E3"/>
    <w:rsid w:val="6E704280"/>
    <w:rsid w:val="6E867605"/>
    <w:rsid w:val="6E92476B"/>
    <w:rsid w:val="6E963AB1"/>
    <w:rsid w:val="6EBD554B"/>
    <w:rsid w:val="6EEB0304"/>
    <w:rsid w:val="6F045673"/>
    <w:rsid w:val="6F1A6944"/>
    <w:rsid w:val="6F4A204F"/>
    <w:rsid w:val="6F690520"/>
    <w:rsid w:val="6FB732D3"/>
    <w:rsid w:val="704E156C"/>
    <w:rsid w:val="709968EA"/>
    <w:rsid w:val="71304212"/>
    <w:rsid w:val="71377F58"/>
    <w:rsid w:val="717710FC"/>
    <w:rsid w:val="718566D2"/>
    <w:rsid w:val="718C3496"/>
    <w:rsid w:val="71CC25B2"/>
    <w:rsid w:val="72215F84"/>
    <w:rsid w:val="728C6909"/>
    <w:rsid w:val="72973DFB"/>
    <w:rsid w:val="72AE0A5A"/>
    <w:rsid w:val="73980763"/>
    <w:rsid w:val="73FC36B8"/>
    <w:rsid w:val="74702CC7"/>
    <w:rsid w:val="748E2698"/>
    <w:rsid w:val="75994BA3"/>
    <w:rsid w:val="75A41981"/>
    <w:rsid w:val="75A5667F"/>
    <w:rsid w:val="763F5F80"/>
    <w:rsid w:val="76452D0A"/>
    <w:rsid w:val="768A3736"/>
    <w:rsid w:val="76BF0CD1"/>
    <w:rsid w:val="77240767"/>
    <w:rsid w:val="77257B85"/>
    <w:rsid w:val="775B691D"/>
    <w:rsid w:val="77E958A1"/>
    <w:rsid w:val="77FF2C8B"/>
    <w:rsid w:val="789B6548"/>
    <w:rsid w:val="78A85AED"/>
    <w:rsid w:val="78D64F0B"/>
    <w:rsid w:val="79661061"/>
    <w:rsid w:val="798B3D5D"/>
    <w:rsid w:val="79B251EA"/>
    <w:rsid w:val="79F0239A"/>
    <w:rsid w:val="79F21D92"/>
    <w:rsid w:val="7A0A32A9"/>
    <w:rsid w:val="7A920555"/>
    <w:rsid w:val="7A9C37EA"/>
    <w:rsid w:val="7A9F71F4"/>
    <w:rsid w:val="7BC4387C"/>
    <w:rsid w:val="7BDE74BF"/>
    <w:rsid w:val="7BEB0107"/>
    <w:rsid w:val="7BFB441C"/>
    <w:rsid w:val="7D2B3645"/>
    <w:rsid w:val="7D2D48E9"/>
    <w:rsid w:val="7DA11D36"/>
    <w:rsid w:val="7DCB687B"/>
    <w:rsid w:val="7DFB7C64"/>
    <w:rsid w:val="7E0479EA"/>
    <w:rsid w:val="7E157601"/>
    <w:rsid w:val="7E2E56C2"/>
    <w:rsid w:val="7E7B3C26"/>
    <w:rsid w:val="7EC56601"/>
    <w:rsid w:val="7ED63331"/>
    <w:rsid w:val="7F667DA1"/>
    <w:rsid w:val="7FA62854"/>
    <w:rsid w:val="7FAF3E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99"/>
    <w:pPr>
      <w:keepNext/>
      <w:keepLines/>
      <w:spacing w:before="260" w:after="260" w:line="416" w:lineRule="auto"/>
      <w:outlineLvl w:val="1"/>
    </w:pPr>
    <w:rPr>
      <w:rFonts w:ascii="Cambria" w:hAnsi="Cambria" w:eastAsia="宋体"/>
      <w:b/>
      <w:bCs/>
      <w:kern w:val="0"/>
    </w:rPr>
  </w:style>
  <w:style w:type="paragraph" w:styleId="4">
    <w:name w:val="heading 3"/>
    <w:basedOn w:val="1"/>
    <w:next w:val="1"/>
    <w:link w:val="27"/>
    <w:qFormat/>
    <w:uiPriority w:val="99"/>
    <w:pPr>
      <w:keepNext/>
      <w:keepLines/>
      <w:outlineLvl w:val="2"/>
    </w:pPr>
    <w:rPr>
      <w:rFonts w:eastAsia="黑体"/>
    </w:rPr>
  </w:style>
  <w:style w:type="paragraph" w:styleId="5">
    <w:name w:val="heading 4"/>
    <w:basedOn w:val="1"/>
    <w:next w:val="1"/>
    <w:link w:val="28"/>
    <w:qFormat/>
    <w:uiPriority w:val="99"/>
    <w:pPr>
      <w:keepNext/>
      <w:keepLines/>
      <w:outlineLvl w:val="3"/>
    </w:pPr>
    <w:rPr>
      <w:rFonts w:eastAsia="楷体_GB2312"/>
    </w:rPr>
  </w:style>
  <w:style w:type="paragraph" w:styleId="6">
    <w:name w:val="heading 5"/>
    <w:basedOn w:val="1"/>
    <w:next w:val="1"/>
    <w:link w:val="29"/>
    <w:qFormat/>
    <w:uiPriority w:val="99"/>
    <w:pPr>
      <w:keepNext/>
      <w:keepLines/>
      <w:spacing w:before="280" w:after="290" w:line="374" w:lineRule="auto"/>
      <w:outlineLvl w:val="4"/>
    </w:pPr>
    <w:rPr>
      <w:rFonts w:eastAsia="宋体"/>
      <w:b/>
      <w:bCs/>
      <w:kern w:val="0"/>
      <w:sz w:val="28"/>
      <w:szCs w:val="28"/>
    </w:rPr>
  </w:style>
  <w:style w:type="character" w:default="1" w:styleId="20">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1"/>
    <w:qFormat/>
    <w:uiPriority w:val="99"/>
    <w:rPr>
      <w:b/>
      <w:bCs/>
    </w:rPr>
  </w:style>
  <w:style w:type="paragraph" w:styleId="8">
    <w:name w:val="annotation text"/>
    <w:basedOn w:val="1"/>
    <w:link w:val="30"/>
    <w:qFormat/>
    <w:uiPriority w:val="99"/>
    <w:pPr>
      <w:jc w:val="left"/>
    </w:pPr>
    <w:rPr>
      <w:rFonts w:eastAsia="宋体"/>
      <w:kern w:val="0"/>
      <w:sz w:val="20"/>
      <w:szCs w:val="20"/>
    </w:rPr>
  </w:style>
  <w:style w:type="paragraph" w:styleId="9">
    <w:name w:val="toc 3"/>
    <w:basedOn w:val="1"/>
    <w:next w:val="1"/>
    <w:qFormat/>
    <w:uiPriority w:val="39"/>
    <w:pPr>
      <w:tabs>
        <w:tab w:val="right" w:leader="dot" w:pos="8296"/>
      </w:tabs>
      <w:jc w:val="center"/>
    </w:pPr>
    <w:rPr>
      <w:rFonts w:ascii="方正小标宋简体" w:hAnsi="黑体" w:eastAsia="方正小标宋简体"/>
      <w:b/>
    </w:rPr>
  </w:style>
  <w:style w:type="paragraph" w:styleId="10">
    <w:name w:val="Plain Text"/>
    <w:basedOn w:val="1"/>
    <w:link w:val="32"/>
    <w:qFormat/>
    <w:uiPriority w:val="99"/>
    <w:rPr>
      <w:rFonts w:ascii="宋体" w:hAnsi="Courier New" w:eastAsia="宋体"/>
      <w:kern w:val="0"/>
      <w:sz w:val="21"/>
      <w:szCs w:val="21"/>
    </w:rPr>
  </w:style>
  <w:style w:type="paragraph" w:styleId="11">
    <w:name w:val="Date"/>
    <w:basedOn w:val="1"/>
    <w:next w:val="1"/>
    <w:link w:val="33"/>
    <w:qFormat/>
    <w:uiPriority w:val="99"/>
    <w:pPr>
      <w:ind w:left="100" w:leftChars="2500"/>
    </w:pPr>
    <w:rPr>
      <w:rFonts w:eastAsia="宋体"/>
      <w:kern w:val="0"/>
      <w:sz w:val="20"/>
      <w:szCs w:val="20"/>
    </w:rPr>
  </w:style>
  <w:style w:type="paragraph" w:styleId="12">
    <w:name w:val="Balloon Text"/>
    <w:basedOn w:val="1"/>
    <w:link w:val="34"/>
    <w:qFormat/>
    <w:uiPriority w:val="99"/>
    <w:rPr>
      <w:rFonts w:eastAsia="宋体"/>
      <w:kern w:val="0"/>
      <w:sz w:val="18"/>
      <w:szCs w:val="18"/>
    </w:rPr>
  </w:style>
  <w:style w:type="paragraph" w:styleId="13">
    <w:name w:val="footer"/>
    <w:basedOn w:val="1"/>
    <w:link w:val="35"/>
    <w:qFormat/>
    <w:uiPriority w:val="99"/>
    <w:pPr>
      <w:tabs>
        <w:tab w:val="center" w:pos="4153"/>
        <w:tab w:val="right" w:pos="8306"/>
      </w:tabs>
      <w:snapToGrid w:val="0"/>
      <w:jc w:val="left"/>
    </w:pPr>
    <w:rPr>
      <w:rFonts w:eastAsia="宋体"/>
      <w:kern w:val="0"/>
      <w:sz w:val="18"/>
      <w:szCs w:val="18"/>
    </w:rPr>
  </w:style>
  <w:style w:type="paragraph" w:styleId="14">
    <w:name w:val="header"/>
    <w:basedOn w:val="1"/>
    <w:link w:val="36"/>
    <w:qFormat/>
    <w:uiPriority w:val="99"/>
    <w:pPr>
      <w:pBdr>
        <w:bottom w:val="single" w:color="auto" w:sz="6" w:space="1"/>
      </w:pBdr>
      <w:tabs>
        <w:tab w:val="center" w:pos="4153"/>
        <w:tab w:val="right" w:pos="8306"/>
      </w:tabs>
      <w:snapToGrid w:val="0"/>
      <w:jc w:val="center"/>
    </w:pPr>
    <w:rPr>
      <w:rFonts w:eastAsia="宋体"/>
      <w:kern w:val="0"/>
      <w:sz w:val="18"/>
      <w:szCs w:val="18"/>
    </w:rPr>
  </w:style>
  <w:style w:type="paragraph" w:styleId="15">
    <w:name w:val="toc 1"/>
    <w:basedOn w:val="1"/>
    <w:next w:val="1"/>
    <w:qFormat/>
    <w:uiPriority w:val="99"/>
  </w:style>
  <w:style w:type="paragraph" w:styleId="16">
    <w:name w:val="toc 4"/>
    <w:basedOn w:val="1"/>
    <w:next w:val="1"/>
    <w:qFormat/>
    <w:uiPriority w:val="39"/>
    <w:pPr>
      <w:tabs>
        <w:tab w:val="right" w:leader="dot" w:pos="8296"/>
      </w:tabs>
      <w:adjustRightInd w:val="0"/>
      <w:snapToGrid w:val="0"/>
      <w:ind w:left="1060" w:leftChars="355" w:hanging="350" w:hangingChars="175"/>
    </w:pPr>
  </w:style>
  <w:style w:type="paragraph" w:styleId="17">
    <w:name w:val="toc 2"/>
    <w:basedOn w:val="1"/>
    <w:next w:val="1"/>
    <w:qFormat/>
    <w:uiPriority w:val="39"/>
    <w:pPr>
      <w:tabs>
        <w:tab w:val="right" w:leader="dot" w:pos="8296"/>
      </w:tabs>
      <w:spacing w:line="560" w:lineRule="exact"/>
      <w:ind w:left="400" w:leftChars="200" w:firstLine="308" w:firstLineChars="11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link w:val="37"/>
    <w:qFormat/>
    <w:uiPriority w:val="99"/>
    <w:pPr>
      <w:spacing w:before="240" w:after="60"/>
      <w:jc w:val="center"/>
      <w:outlineLvl w:val="0"/>
    </w:pPr>
    <w:rPr>
      <w:rFonts w:ascii="Arial" w:hAnsi="Arial" w:eastAsia="宋体"/>
      <w:b/>
      <w:bCs/>
      <w:kern w:val="0"/>
    </w:rPr>
  </w:style>
  <w:style w:type="character" w:styleId="21">
    <w:name w:val="Strong"/>
    <w:qFormat/>
    <w:uiPriority w:val="99"/>
    <w:rPr>
      <w:rFonts w:cs="Times New Roman"/>
      <w:b/>
    </w:rPr>
  </w:style>
  <w:style w:type="character" w:styleId="22">
    <w:name w:val="Hyperlink"/>
    <w:qFormat/>
    <w:uiPriority w:val="99"/>
    <w:rPr>
      <w:rFonts w:cs="Times New Roman"/>
      <w:color w:val="0000FF"/>
      <w:u w:val="single"/>
    </w:rPr>
  </w:style>
  <w:style w:type="character" w:styleId="23">
    <w:name w:val="annotation reference"/>
    <w:qFormat/>
    <w:uiPriority w:val="99"/>
    <w:rPr>
      <w:rFonts w:cs="Times New Roman"/>
      <w:sz w:val="21"/>
    </w:rPr>
  </w:style>
  <w:style w:type="character" w:customStyle="1" w:styleId="25">
    <w:name w:val="标题 1 字符"/>
    <w:link w:val="2"/>
    <w:qFormat/>
    <w:locked/>
    <w:uiPriority w:val="99"/>
    <w:rPr>
      <w:rFonts w:eastAsia="仿宋_GB2312" w:cs="Times New Roman"/>
      <w:b/>
      <w:kern w:val="44"/>
      <w:sz w:val="44"/>
    </w:rPr>
  </w:style>
  <w:style w:type="character" w:customStyle="1" w:styleId="26">
    <w:name w:val="标题 2 字符"/>
    <w:link w:val="3"/>
    <w:semiHidden/>
    <w:qFormat/>
    <w:locked/>
    <w:uiPriority w:val="99"/>
    <w:rPr>
      <w:rFonts w:ascii="Cambria" w:hAnsi="Cambria" w:eastAsia="宋体" w:cs="Times New Roman"/>
      <w:b/>
      <w:sz w:val="32"/>
    </w:rPr>
  </w:style>
  <w:style w:type="character" w:customStyle="1" w:styleId="27">
    <w:name w:val="标题 3 字符"/>
    <w:link w:val="4"/>
    <w:qFormat/>
    <w:locked/>
    <w:uiPriority w:val="99"/>
    <w:rPr>
      <w:rFonts w:eastAsia="黑体" w:cs="Times New Roman"/>
      <w:kern w:val="2"/>
      <w:sz w:val="32"/>
    </w:rPr>
  </w:style>
  <w:style w:type="character" w:customStyle="1" w:styleId="28">
    <w:name w:val="标题 4 字符"/>
    <w:link w:val="5"/>
    <w:qFormat/>
    <w:locked/>
    <w:uiPriority w:val="99"/>
    <w:rPr>
      <w:rFonts w:ascii="Times New Roman" w:hAnsi="Times New Roman" w:eastAsia="楷体_GB2312" w:cs="Times New Roman"/>
      <w:kern w:val="2"/>
      <w:sz w:val="32"/>
    </w:rPr>
  </w:style>
  <w:style w:type="character" w:customStyle="1" w:styleId="29">
    <w:name w:val="标题 5 字符"/>
    <w:link w:val="6"/>
    <w:semiHidden/>
    <w:qFormat/>
    <w:locked/>
    <w:uiPriority w:val="99"/>
    <w:rPr>
      <w:rFonts w:cs="Times New Roman"/>
      <w:b/>
      <w:sz w:val="28"/>
    </w:rPr>
  </w:style>
  <w:style w:type="character" w:customStyle="1" w:styleId="30">
    <w:name w:val="批注文字 字符"/>
    <w:link w:val="8"/>
    <w:qFormat/>
    <w:locked/>
    <w:uiPriority w:val="99"/>
    <w:rPr>
      <w:rFonts w:cs="Times New Roman"/>
    </w:rPr>
  </w:style>
  <w:style w:type="character" w:customStyle="1" w:styleId="31">
    <w:name w:val="批注主题 字符"/>
    <w:link w:val="7"/>
    <w:semiHidden/>
    <w:qFormat/>
    <w:locked/>
    <w:uiPriority w:val="99"/>
    <w:rPr>
      <w:rFonts w:cs="Times New Roman"/>
      <w:b/>
    </w:rPr>
  </w:style>
  <w:style w:type="character" w:customStyle="1" w:styleId="32">
    <w:name w:val="纯文本 字符"/>
    <w:link w:val="10"/>
    <w:qFormat/>
    <w:locked/>
    <w:uiPriority w:val="99"/>
    <w:rPr>
      <w:rFonts w:ascii="宋体" w:hAnsi="Courier New" w:cs="Times New Roman"/>
      <w:sz w:val="21"/>
    </w:rPr>
  </w:style>
  <w:style w:type="character" w:customStyle="1" w:styleId="33">
    <w:name w:val="日期 字符"/>
    <w:link w:val="11"/>
    <w:semiHidden/>
    <w:qFormat/>
    <w:locked/>
    <w:uiPriority w:val="99"/>
    <w:rPr>
      <w:rFonts w:cs="Times New Roman"/>
    </w:rPr>
  </w:style>
  <w:style w:type="character" w:customStyle="1" w:styleId="34">
    <w:name w:val="批注框文本 字符"/>
    <w:link w:val="12"/>
    <w:semiHidden/>
    <w:qFormat/>
    <w:locked/>
    <w:uiPriority w:val="99"/>
    <w:rPr>
      <w:rFonts w:cs="Times New Roman"/>
      <w:sz w:val="18"/>
    </w:rPr>
  </w:style>
  <w:style w:type="character" w:customStyle="1" w:styleId="35">
    <w:name w:val="页脚 字符"/>
    <w:link w:val="13"/>
    <w:qFormat/>
    <w:locked/>
    <w:uiPriority w:val="99"/>
    <w:rPr>
      <w:rFonts w:cs="Times New Roman"/>
      <w:sz w:val="18"/>
    </w:rPr>
  </w:style>
  <w:style w:type="character" w:customStyle="1" w:styleId="36">
    <w:name w:val="页眉 字符"/>
    <w:link w:val="14"/>
    <w:qFormat/>
    <w:locked/>
    <w:uiPriority w:val="99"/>
    <w:rPr>
      <w:rFonts w:cs="Times New Roman"/>
      <w:sz w:val="18"/>
    </w:rPr>
  </w:style>
  <w:style w:type="character" w:customStyle="1" w:styleId="37">
    <w:name w:val="标题 字符"/>
    <w:link w:val="19"/>
    <w:qFormat/>
    <w:locked/>
    <w:uiPriority w:val="99"/>
    <w:rPr>
      <w:rFonts w:ascii="Arial" w:hAnsi="Arial" w:cs="Times New Roman"/>
      <w:b/>
      <w:sz w:val="32"/>
    </w:rPr>
  </w:style>
  <w:style w:type="paragraph" w:customStyle="1" w:styleId="38">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9">
    <w:name w:val="列出段落1"/>
    <w:basedOn w:val="1"/>
    <w:link w:val="40"/>
    <w:qFormat/>
    <w:uiPriority w:val="99"/>
    <w:pPr>
      <w:ind w:firstLine="420"/>
    </w:pPr>
  </w:style>
  <w:style w:type="character" w:customStyle="1" w:styleId="40">
    <w:name w:val="列出段落 Char"/>
    <w:link w:val="39"/>
    <w:qFormat/>
    <w:locked/>
    <w:uiPriority w:val="99"/>
  </w:style>
  <w:style w:type="paragraph" w:customStyle="1" w:styleId="41">
    <w:name w:val="修订1"/>
    <w:hidden/>
    <w:qFormat/>
    <w:uiPriority w:val="99"/>
    <w:rPr>
      <w:rFonts w:ascii="Times New Roman" w:hAnsi="Times New Roman" w:eastAsia="宋体" w:cs="Times New Roman"/>
      <w:kern w:val="2"/>
      <w:lang w:val="en-US" w:eastAsia="zh-CN" w:bidi="ar-SA"/>
    </w:rPr>
  </w:style>
  <w:style w:type="paragraph" w:customStyle="1" w:styleId="42">
    <w:name w:val="修订2"/>
    <w:hidden/>
    <w:semiHidden/>
    <w:qFormat/>
    <w:uiPriority w:val="99"/>
    <w:rPr>
      <w:rFonts w:ascii="Times New Roman" w:hAnsi="Times New Roman" w:eastAsia="仿宋_GB2312" w:cs="Times New Roman"/>
      <w:kern w:val="2"/>
      <w:sz w:val="32"/>
      <w:szCs w:val="32"/>
      <w:lang w:val="en-US" w:eastAsia="zh-CN" w:bidi="ar-SA"/>
    </w:rPr>
  </w:style>
  <w:style w:type="paragraph" w:customStyle="1" w:styleId="43">
    <w:name w:val="列表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0193E-1098-409B-A4E4-EFDAE01581E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794</Words>
  <Characters>4531</Characters>
  <Lines>37</Lines>
  <Paragraphs>10</Paragraphs>
  <TotalTime>0</TotalTime>
  <ScaleCrop>false</ScaleCrop>
  <LinksUpToDate>false</LinksUpToDate>
  <CharactersWithSpaces>5315</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2020-04-27T08:19:00Z</dcterms:created>
  <dc:creator>sl2-7</dc:creator>
  <cp:lastModifiedBy>YZ0_TIANYANG</cp:lastModifiedBy>
  <cp:lastPrinted>2020-04-23T05:46:00Z</cp:lastPrinted>
  <dcterms:modified xsi:type="dcterms:W3CDTF">2020-04-29T09:45:46Z</dcterms:modified>
  <dc:title>附件2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